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16 w16cex w16sdtdh w16sdtfl w16du wp14">
  <w:body>
    <w:p w:rsidRPr="0022056B" w:rsidR="0067066E" w:rsidP="61352E91" w:rsidRDefault="0067066E" w14:paraId="05605B30" w14:textId="273AE04A">
      <w:pPr>
        <w:spacing w:after="480"/>
        <w:jc w:val="center"/>
        <w:rPr>
          <w:b/>
          <w:bCs/>
          <w:color w:val="555555"/>
          <w:sz w:val="20"/>
          <w:szCs w:val="20"/>
        </w:rPr>
      </w:pPr>
    </w:p>
    <w:p w:rsidRPr="0022056B" w:rsidR="00333EDE" w:rsidRDefault="00624242" w14:paraId="35170741" w14:textId="4CD79448">
      <w:pPr>
        <w:spacing w:after="480"/>
        <w:jc w:val="center"/>
      </w:pPr>
      <w:r w:rsidRPr="0022056B">
        <w:rPr>
          <w:b/>
          <w:bCs/>
          <w:color w:val="555555"/>
          <w:sz w:val="20"/>
          <w:szCs w:val="20"/>
        </w:rPr>
        <w:t>CRC CONSEILS</w:t>
      </w:r>
    </w:p>
    <w:p w:rsidRPr="0022056B" w:rsidR="00333EDE" w:rsidRDefault="00624242" w14:paraId="4F7E235A" w14:textId="77777777">
      <w:pPr>
        <w:spacing w:after="80"/>
        <w:jc w:val="center"/>
      </w:pPr>
      <w:r w:rsidRPr="0022056B">
        <w:rPr>
          <w:b/>
          <w:bCs/>
          <w:color w:val="1A3A5C"/>
          <w:sz w:val="72"/>
          <w:szCs w:val="72"/>
        </w:rPr>
        <w:t>L'ÉTHIQUE EN</w:t>
      </w:r>
    </w:p>
    <w:p w:rsidRPr="0022056B" w:rsidR="00333EDE" w:rsidRDefault="00624242" w14:paraId="351F0C43" w14:textId="77777777">
      <w:pPr>
        <w:spacing w:after="200"/>
        <w:jc w:val="center"/>
      </w:pPr>
      <w:r w:rsidRPr="0022056B">
        <w:rPr>
          <w:b/>
          <w:bCs/>
          <w:color w:val="1A3A5C"/>
          <w:sz w:val="72"/>
          <w:szCs w:val="72"/>
        </w:rPr>
        <w:t>RECRUTEMENT EXÉCUTIF</w:t>
      </w:r>
    </w:p>
    <w:p w:rsidRPr="0022056B" w:rsidR="00333EDE" w:rsidRDefault="00624242" w14:paraId="032634A5" w14:textId="16B9174D">
      <w:pPr>
        <w:spacing w:after="80"/>
        <w:jc w:val="center"/>
      </w:pPr>
      <w:r w:rsidRPr="0022056B">
        <w:rPr>
          <w:b/>
          <w:bCs/>
          <w:color w:val="E87722"/>
          <w:sz w:val="28"/>
          <w:szCs w:val="28"/>
        </w:rPr>
        <w:t>Édition 2026</w:t>
      </w:r>
    </w:p>
    <w:p w:rsidRPr="0022056B" w:rsidR="00333EDE" w:rsidRDefault="00333EDE" w14:paraId="6BBE4A4C" w14:textId="77777777">
      <w:pPr>
        <w:pBdr>
          <w:bottom w:val="single" w:color="E87722" w:sz="12" w:space="1"/>
        </w:pBdr>
        <w:spacing w:after="240"/>
      </w:pPr>
    </w:p>
    <w:p w:rsidRPr="0022056B" w:rsidR="00333EDE" w:rsidRDefault="00624242" w14:paraId="7E3533D4" w14:textId="2DB08288">
      <w:pPr>
        <w:spacing w:after="60"/>
        <w:jc w:val="center"/>
        <w:rPr>
          <w:i/>
          <w:color w:val="555555"/>
          <w:sz w:val="24"/>
          <w:szCs w:val="24"/>
        </w:rPr>
      </w:pPr>
      <w:r w:rsidRPr="0022056B">
        <w:rPr>
          <w:i/>
          <w:iCs/>
          <w:color w:val="555555"/>
          <w:sz w:val="24"/>
          <w:szCs w:val="24"/>
        </w:rPr>
        <w:t>Portrait et analyse des enjeux éthiques dans la recherche de cadres</w:t>
      </w:r>
      <w:commentRangeStart w:id="0"/>
      <w:commentRangeEnd w:id="0"/>
      <w:r w:rsidRPr="0022056B">
        <w:rPr>
          <w:rStyle w:val="CommentReference"/>
          <w:i/>
          <w:color w:val="555555"/>
          <w:sz w:val="24"/>
          <w:szCs w:val="24"/>
        </w:rPr>
        <w:commentReference w:id="0"/>
      </w:r>
    </w:p>
    <w:p w:rsidRPr="0022056B" w:rsidR="00333EDE" w:rsidP="34228AF3" w:rsidRDefault="1510224C" w14:paraId="5A124446" w14:textId="77777777">
      <w:pPr>
        <w:spacing w:after="80"/>
        <w:jc w:val="center"/>
        <w:rPr>
          <w:i/>
          <w:iCs/>
          <w:color w:val="555555"/>
          <w:sz w:val="24"/>
          <w:szCs w:val="24"/>
        </w:rPr>
      </w:pPr>
      <w:r w:rsidRPr="0022056B">
        <w:rPr>
          <w:i/>
          <w:iCs/>
          <w:color w:val="555555"/>
          <w:sz w:val="24"/>
          <w:szCs w:val="24"/>
        </w:rPr>
        <w:t>Standards, pratiques exemplaires et enjeux émergents</w:t>
      </w:r>
    </w:p>
    <w:p w:rsidRPr="0022056B" w:rsidR="00333EDE" w:rsidP="34228AF3" w:rsidRDefault="1510224C" w14:paraId="2A1C5F11" w14:textId="74ABC7AC">
      <w:pPr>
        <w:jc w:val="center"/>
        <w:rPr>
          <w:sz w:val="20"/>
          <w:szCs w:val="20"/>
        </w:rPr>
      </w:pPr>
      <w:r w:rsidRPr="0022056B">
        <w:rPr>
          <w:color w:val="555555"/>
          <w:sz w:val="20"/>
          <w:szCs w:val="20"/>
        </w:rPr>
        <w:t>Publié en février 2026</w:t>
      </w:r>
      <w:r w:rsidRPr="0022056B" w:rsidR="007C6BAC">
        <w:rPr>
          <w:color w:val="555555"/>
          <w:sz w:val="20"/>
          <w:szCs w:val="20"/>
        </w:rPr>
        <w:t xml:space="preserve"> </w:t>
      </w:r>
    </w:p>
    <w:p w:rsidRPr="0022056B" w:rsidR="00333EDE" w:rsidP="34228AF3" w:rsidRDefault="007C6BAC" w14:paraId="246FAD7D" w14:textId="0B7257B0">
      <w:pPr>
        <w:jc w:val="center"/>
        <w:rPr>
          <w:sz w:val="20"/>
          <w:szCs w:val="20"/>
        </w:rPr>
      </w:pPr>
      <w:proofErr w:type="gramStart"/>
      <w:r w:rsidRPr="0022056B">
        <w:rPr>
          <w:color w:val="555555"/>
          <w:sz w:val="20"/>
          <w:szCs w:val="20"/>
        </w:rPr>
        <w:t>p</w:t>
      </w:r>
      <w:r w:rsidRPr="0022056B">
        <w:rPr>
          <w:rFonts w:ascii="Segoe UI" w:hAnsi="Segoe UI" w:eastAsia="Segoe UI" w:cs="Segoe UI"/>
          <w:color w:val="333333"/>
          <w:sz w:val="18"/>
          <w:szCs w:val="18"/>
        </w:rPr>
        <w:t>ar</w:t>
      </w:r>
      <w:proofErr w:type="gramEnd"/>
      <w:r w:rsidRPr="0022056B">
        <w:rPr>
          <w:rFonts w:ascii="Segoe UI" w:hAnsi="Segoe UI" w:eastAsia="Segoe UI" w:cs="Segoe UI"/>
          <w:color w:val="333333"/>
          <w:sz w:val="18"/>
          <w:szCs w:val="18"/>
        </w:rPr>
        <w:t>:</w:t>
      </w:r>
    </w:p>
    <w:p w:rsidRPr="0022056B" w:rsidR="00333EDE" w:rsidP="34228AF3" w:rsidRDefault="007C6BAC" w14:paraId="09D21FCD" w14:textId="559978A3">
      <w:pPr>
        <w:jc w:val="center"/>
        <w:rPr>
          <w:rFonts w:ascii="Segoe UI" w:hAnsi="Segoe UI" w:eastAsia="Segoe UI" w:cs="Segoe UI"/>
          <w:color w:val="333333"/>
          <w:sz w:val="18"/>
          <w:szCs w:val="18"/>
        </w:rPr>
      </w:pPr>
      <w:r w:rsidRPr="0022056B">
        <w:rPr>
          <w:rFonts w:ascii="Segoe UI" w:hAnsi="Segoe UI" w:eastAsia="Segoe UI" w:cs="Segoe UI"/>
          <w:color w:val="333333"/>
          <w:sz w:val="18"/>
          <w:szCs w:val="18"/>
        </w:rPr>
        <w:t xml:space="preserve"> Sylvain Bélanger, directeur principal et associé chez CRC CONSEILS Recherche de cadres</w:t>
      </w:r>
    </w:p>
    <w:p w:rsidRPr="0022056B" w:rsidR="00BA1EE8" w:rsidP="34228AF3" w:rsidRDefault="00BA1EE8" w14:paraId="23C14840" w14:textId="33BECD01">
      <w:pPr>
        <w:jc w:val="center"/>
        <w:rPr>
          <w:rFonts w:ascii="Segoe UI" w:hAnsi="Segoe UI" w:eastAsia="Segoe UI" w:cs="Segoe UI"/>
          <w:color w:val="333333"/>
          <w:sz w:val="18"/>
          <w:szCs w:val="18"/>
        </w:rPr>
      </w:pPr>
    </w:p>
    <w:p w:rsidRPr="0022056B" w:rsidR="00BA1EE8" w:rsidP="34228AF3" w:rsidRDefault="00BA1EE8" w14:paraId="2005707E" w14:textId="77777777">
      <w:pPr>
        <w:jc w:val="center"/>
        <w:rPr>
          <w:rFonts w:ascii="Segoe UI" w:hAnsi="Segoe UI" w:eastAsia="Segoe UI" w:cs="Segoe UI"/>
          <w:color w:val="333333"/>
          <w:sz w:val="18"/>
          <w:szCs w:val="18"/>
        </w:rPr>
      </w:pPr>
    </w:p>
    <w:p w:rsidRPr="0022056B" w:rsidR="00BA1EE8" w:rsidP="34228AF3" w:rsidRDefault="00BA1EE8" w14:paraId="606E39B8" w14:textId="77777777">
      <w:pPr>
        <w:jc w:val="center"/>
        <w:rPr>
          <w:rFonts w:ascii="Segoe UI" w:hAnsi="Segoe UI" w:eastAsia="Segoe UI" w:cs="Segoe UI"/>
          <w:color w:val="333333"/>
          <w:sz w:val="18"/>
          <w:szCs w:val="18"/>
        </w:rPr>
      </w:pPr>
    </w:p>
    <w:p w:rsidRPr="0022056B" w:rsidR="00BA1EE8" w:rsidP="34228AF3" w:rsidRDefault="00BA1EE8" w14:paraId="17DF9857" w14:textId="77777777">
      <w:pPr>
        <w:jc w:val="center"/>
        <w:rPr>
          <w:sz w:val="20"/>
          <w:szCs w:val="20"/>
        </w:rPr>
      </w:pPr>
    </w:p>
    <w:p w:rsidRPr="0022056B" w:rsidR="081F3AE9" w:rsidP="34228AF3" w:rsidRDefault="081F3AE9" w14:paraId="748D176A" w14:textId="1A1866A0">
      <w:pPr>
        <w:jc w:val="center"/>
      </w:pPr>
      <w:r w:rsidRPr="0022056B">
        <w:rPr>
          <w:noProof/>
        </w:rPr>
        <w:drawing>
          <wp:inline distT="0" distB="0" distL="0" distR="0" wp14:anchorId="3EFA4540" wp14:editId="018C1892">
            <wp:extent cx="4365939" cy="2910626"/>
            <wp:effectExtent l="0" t="0" r="0" b="4445"/>
            <wp:docPr id="2359131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13160" name="Picture 235913160"/>
                    <pic:cNvPicPr/>
                  </pic:nvPicPr>
                  <pic:blipFill>
                    <a:blip r:embed="rId14">
                      <a:extLst>
                        <a:ext uri="{28A0092B-C50C-407E-A947-70E740481C1C}">
                          <a14:useLocalDpi xmlns:a14="http://schemas.microsoft.com/office/drawing/2010/main"/>
                        </a:ext>
                      </a:extLst>
                    </a:blip>
                    <a:stretch>
                      <a:fillRect/>
                    </a:stretch>
                  </pic:blipFill>
                  <pic:spPr>
                    <a:xfrm>
                      <a:off x="0" y="0"/>
                      <a:ext cx="4374814" cy="2916543"/>
                    </a:xfrm>
                    <a:prstGeom prst="rect">
                      <a:avLst/>
                    </a:prstGeom>
                  </pic:spPr>
                </pic:pic>
              </a:graphicData>
            </a:graphic>
          </wp:inline>
        </w:drawing>
      </w:r>
    </w:p>
    <w:p w:rsidRPr="0022056B" w:rsidR="00333EDE" w:rsidRDefault="00624242" w14:paraId="40D2D199" w14:textId="7DC5E9BB">
      <w:r w:rsidRPr="0022056B">
        <w:br w:type="page"/>
      </w:r>
    </w:p>
    <w:p w:rsidRPr="0022056B" w:rsidR="00333EDE" w:rsidRDefault="00624242" w14:paraId="72BFABCD" w14:textId="77777777">
      <w:pPr>
        <w:spacing w:after="60"/>
      </w:pPr>
      <w:r w:rsidRPr="0022056B">
        <w:rPr>
          <w:b/>
          <w:bCs/>
          <w:color w:val="E87722"/>
          <w:sz w:val="20"/>
          <w:szCs w:val="20"/>
        </w:rPr>
        <w:t>PARTIE 1</w:t>
      </w:r>
    </w:p>
    <w:p w:rsidRPr="0022056B" w:rsidR="00333EDE" w:rsidRDefault="00624242" w14:paraId="229EFA44" w14:textId="5A4AB5C9">
      <w:pPr>
        <w:spacing w:before="360" w:after="160"/>
      </w:pPr>
      <w:r w:rsidRPr="0022056B">
        <w:rPr>
          <w:b/>
          <w:bCs/>
          <w:color w:val="1A3A5C"/>
          <w:sz w:val="32"/>
          <w:szCs w:val="32"/>
        </w:rPr>
        <w:t>1.1 Pourquoi l’éthique en recrutement exécutif ?</w:t>
      </w:r>
    </w:p>
    <w:p w:rsidRPr="0022056B" w:rsidR="00333EDE" w:rsidRDefault="00624242" w14:paraId="47F3B953" w14:textId="504A37D7">
      <w:pPr>
        <w:spacing w:before="80" w:after="100"/>
        <w:jc w:val="both"/>
      </w:pPr>
      <w:r w:rsidRPr="0022056B">
        <w:rPr>
          <w:color w:val="1A1A1A"/>
        </w:rPr>
        <w:t>Le recrutement de cadres supérieurs opère dans une zone de confiance trilatérale : l’organisation cliente, le candidat et le cabinet. Chacune de ces parties engage sa réputation, sa confidentialité et parfois sa carrière dans un processus qui demeure, par nature, opaque</w:t>
      </w:r>
      <w:r w:rsidRPr="0022056B" w:rsidR="00036AC4">
        <w:rPr>
          <w:color w:val="1A1A1A"/>
        </w:rPr>
        <w:t>.</w:t>
      </w:r>
    </w:p>
    <w:p w:rsidRPr="0022056B" w:rsidR="00333EDE" w:rsidRDefault="00624242" w14:paraId="6C198EF3" w14:textId="0FD58C06">
      <w:pPr>
        <w:spacing w:before="80" w:after="100"/>
        <w:jc w:val="both"/>
      </w:pPr>
      <w:r w:rsidRPr="0022056B">
        <w:rPr>
          <w:color w:val="1A1A1A"/>
        </w:rPr>
        <w:t>Or, cette asymétrie d’information constitue le risque éthique structurel du secteur. Le cabinet sait ce que le client lui a confié sur l’organisation. Il sait ce que le candidat lui a confié sur ses ambitions et ses vulnérabilités. Il est le seul à détenir l’ensemble de l’image et c’est précisément là que l’éthique commence.</w:t>
      </w:r>
    </w:p>
    <w:p w:rsidRPr="0022056B" w:rsidR="00333EDE" w:rsidRDefault="00624242" w14:paraId="2B8DEC67" w14:textId="32744B0B">
      <w:pPr>
        <w:spacing w:before="80" w:after="100"/>
        <w:jc w:val="both"/>
      </w:pPr>
      <w:r w:rsidRPr="0022056B">
        <w:rPr>
          <w:color w:val="1A1A1A"/>
        </w:rPr>
        <w:t>En 2026, ce contexte se complexifie davantage. Le marché de l’emploi exécutif se rééquilibre après des années de pénurie aiguë, l’intelligence artificielle s’invite dans les processus de sélection, et les candidats comme les organisations clientes formulent des exigences plus élevées en matière de transparence et d’équité. Dans ce contexte, les cabinets qui ne sauront pas articuler et démontrer leurs engagements éthiques subiront un déficit de crédibilité croissant.</w:t>
      </w:r>
    </w:p>
    <w:p w:rsidRPr="0022056B" w:rsidR="00333EDE" w:rsidRDefault="00624242" w14:paraId="7EB2E316" w14:textId="01DB1CD7">
      <w:pPr>
        <w:spacing w:before="80" w:after="100"/>
        <w:jc w:val="both"/>
      </w:pPr>
      <w:r w:rsidRPr="0022056B">
        <w:rPr>
          <w:color w:val="1A1A1A"/>
        </w:rPr>
        <w:t xml:space="preserve">La présente publication a pour ambition de </w:t>
      </w:r>
      <w:r w:rsidRPr="0022056B" w:rsidR="007D1DE8">
        <w:rPr>
          <w:color w:val="1A1A1A"/>
        </w:rPr>
        <w:t>brosser</w:t>
      </w:r>
      <w:r w:rsidRPr="0022056B">
        <w:rPr>
          <w:color w:val="1A1A1A"/>
        </w:rPr>
        <w:t xml:space="preserve"> un portrait rigoureux des enjeux éthiques propres à la recherche de cadres au Québec. Elle s’adresse autant aux organisations qui confient des mandats de recrutement qu’aux candidats qui y participent et aux cabinets qui souhaitent évaluer leurs pratiques.</w:t>
      </w:r>
    </w:p>
    <w:p w:rsidRPr="0022056B" w:rsidR="00333EDE" w:rsidRDefault="00333EDE" w14:paraId="2FBEC19F" w14:textId="77777777">
      <w:pPr>
        <w:spacing w:before="120" w:after="120"/>
      </w:pPr>
    </w:p>
    <w:p w:rsidRPr="0022056B" w:rsidR="00333EDE" w:rsidRDefault="00624242" w14:paraId="4416C9B4" w14:textId="77777777">
      <w:pPr>
        <w:spacing w:before="360" w:after="160"/>
      </w:pPr>
      <w:r w:rsidRPr="0022056B">
        <w:rPr>
          <w:b/>
          <w:bCs/>
          <w:color w:val="1A3A5C"/>
          <w:sz w:val="32"/>
          <w:szCs w:val="32"/>
        </w:rPr>
        <w:t>1.2 Méthodologie</w:t>
      </w:r>
    </w:p>
    <w:p w:rsidRPr="0022056B" w:rsidR="00333EDE" w:rsidRDefault="00624242" w14:paraId="3944C92B" w14:textId="77777777">
      <w:pPr>
        <w:spacing w:before="80" w:after="100"/>
        <w:jc w:val="both"/>
      </w:pPr>
      <w:r w:rsidRPr="0022056B">
        <w:rPr>
          <w:color w:val="1A1A1A"/>
        </w:rPr>
        <w:t xml:space="preserve">Cette publication repose sur une revue approfondie de la littérature professionnelle et académique, incluant les codes de déontologie de l’Association of </w:t>
      </w:r>
      <w:proofErr w:type="spellStart"/>
      <w:r w:rsidRPr="0022056B">
        <w:rPr>
          <w:color w:val="1A1A1A"/>
        </w:rPr>
        <w:t>Executive</w:t>
      </w:r>
      <w:proofErr w:type="spellEnd"/>
      <w:r w:rsidRPr="0022056B">
        <w:rPr>
          <w:color w:val="1A1A1A"/>
        </w:rPr>
        <w:t xml:space="preserve"> Search and Leadership Consultants (AESC), les études de firmes telles que Deloitte, BCG, SHRM, LinkedIn et Harvard Business </w:t>
      </w:r>
      <w:proofErr w:type="spellStart"/>
      <w:r w:rsidRPr="0022056B">
        <w:rPr>
          <w:color w:val="1A1A1A"/>
        </w:rPr>
        <w:t>Review</w:t>
      </w:r>
      <w:proofErr w:type="spellEnd"/>
      <w:r w:rsidRPr="0022056B">
        <w:rPr>
          <w:color w:val="1A1A1A"/>
        </w:rPr>
        <w:t>, ainsi que les orientations réglementaires propres au contexte québécois (Loi 25, Charte des droits, Ordre des CRHA).</w:t>
      </w:r>
    </w:p>
    <w:p w:rsidRPr="0022056B" w:rsidR="00333EDE" w:rsidRDefault="00624242" w14:paraId="1EE65B1A" w14:textId="77777777">
      <w:pPr>
        <w:spacing w:before="80" w:after="100"/>
        <w:jc w:val="both"/>
      </w:pPr>
      <w:r w:rsidRPr="0022056B">
        <w:rPr>
          <w:color w:val="1A1A1A"/>
        </w:rPr>
        <w:t xml:space="preserve">Les observations qualitatives s’appuient sur l’expérience terrain accumulée par CRC Conseils dans ses mandats de recherche de cadres, couvrant </w:t>
      </w:r>
      <w:proofErr w:type="gramStart"/>
      <w:r w:rsidRPr="0022056B">
        <w:rPr>
          <w:color w:val="1A1A1A"/>
        </w:rPr>
        <w:t>les secteurs public</w:t>
      </w:r>
      <w:proofErr w:type="gramEnd"/>
      <w:r w:rsidRPr="0022056B">
        <w:rPr>
          <w:color w:val="1A1A1A"/>
        </w:rPr>
        <w:t>, parapublic et privé. Ces constats de pratique permettent d’ancrer les données statistiques dans la réalité du marché québécois.</w:t>
      </w:r>
    </w:p>
    <w:p w:rsidRPr="0022056B" w:rsidR="00333EDE" w:rsidRDefault="00624242" w14:paraId="0641BE2E" w14:textId="77777777">
      <w:r w:rsidRPr="0022056B">
        <w:br w:type="page"/>
      </w:r>
    </w:p>
    <w:p w:rsidRPr="0022056B" w:rsidR="00333EDE" w:rsidRDefault="00624242" w14:paraId="23299400" w14:textId="77777777">
      <w:pPr>
        <w:spacing w:after="60"/>
      </w:pPr>
      <w:r w:rsidRPr="0022056B">
        <w:rPr>
          <w:b/>
          <w:bCs/>
          <w:color w:val="E87722"/>
          <w:sz w:val="20"/>
          <w:szCs w:val="20"/>
        </w:rPr>
        <w:t>PARTIE 2</w:t>
      </w:r>
    </w:p>
    <w:p w:rsidRPr="0022056B" w:rsidR="0067066E" w:rsidP="00831304" w:rsidRDefault="00624242" w14:paraId="7ED47823" w14:textId="07AD57BC">
      <w:pPr>
        <w:pBdr>
          <w:bottom w:val="single" w:color="E87722" w:sz="6" w:space="1"/>
        </w:pBdr>
      </w:pPr>
      <w:r w:rsidRPr="0022056B">
        <w:rPr>
          <w:b/>
          <w:bCs/>
          <w:color w:val="1A3A5C"/>
          <w:sz w:val="40"/>
          <w:szCs w:val="40"/>
        </w:rPr>
        <w:t>Les sept piliers de l’éthique en recrutement exécutif</w:t>
      </w:r>
    </w:p>
    <w:p w:rsidRPr="0022056B" w:rsidR="0067066E" w:rsidP="61352E91" w:rsidRDefault="52EA7D19" w14:paraId="1F7766CF" w14:textId="6565A1A1">
      <w:pPr>
        <w:spacing w:before="200" w:after="200"/>
        <w:rPr>
          <w:b/>
          <w:bCs/>
          <w:color w:val="1A3A5C"/>
          <w:sz w:val="32"/>
          <w:szCs w:val="32"/>
        </w:rPr>
      </w:pPr>
      <w:r w:rsidRPr="0022056B">
        <w:rPr>
          <w:noProof/>
        </w:rPr>
        <w:drawing>
          <wp:inline distT="0" distB="0" distL="0" distR="0" wp14:anchorId="0BE3EAAC" wp14:editId="3C86D498">
            <wp:extent cx="4829175" cy="3238500"/>
            <wp:effectExtent l="0" t="0" r="0" b="0"/>
            <wp:docPr id="1062802501" name="drawing" descr="Images Gratuites : architecture, structure, bois, palais, Fr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28696" name="Picture 643428696"/>
                    <pic:cNvPicPr/>
                  </pic:nvPicPr>
                  <pic:blipFill>
                    <a:blip r:embed="rId15">
                      <a:extLst>
                        <a:ext uri="{28A0092B-C50C-407E-A947-70E740481C1C}">
                          <a14:useLocalDpi xmlns:a14="http://schemas.microsoft.com/office/drawing/2010/main"/>
                        </a:ext>
                      </a:extLst>
                    </a:blip>
                    <a:stretch>
                      <a:fillRect/>
                    </a:stretch>
                  </pic:blipFill>
                  <pic:spPr>
                    <a:xfrm>
                      <a:off x="0" y="0"/>
                      <a:ext cx="4829175" cy="3238500"/>
                    </a:xfrm>
                    <a:prstGeom prst="rect">
                      <a:avLst/>
                    </a:prstGeom>
                  </pic:spPr>
                </pic:pic>
              </a:graphicData>
            </a:graphic>
          </wp:inline>
        </w:drawing>
      </w:r>
    </w:p>
    <w:p w:rsidRPr="0022056B" w:rsidR="006C63D2" w:rsidP="006C63D2" w:rsidRDefault="00624242" w14:paraId="05BA18CF" w14:textId="1D82B418">
      <w:pPr>
        <w:spacing w:before="360" w:after="160"/>
        <w:rPr>
          <w:b/>
          <w:bCs/>
          <w:color w:val="1A3A5C"/>
          <w:sz w:val="32"/>
          <w:szCs w:val="32"/>
        </w:rPr>
      </w:pPr>
      <w:r w:rsidRPr="0022056B">
        <w:rPr>
          <w:b/>
          <w:bCs/>
          <w:color w:val="1A3A5C"/>
          <w:sz w:val="32"/>
          <w:szCs w:val="32"/>
        </w:rPr>
        <w:t xml:space="preserve">2.1 Les conflits d'intérêts et la règle </w:t>
      </w:r>
      <w:r w:rsidRPr="0022056B" w:rsidR="006C63D2">
        <w:rPr>
          <w:b/>
          <w:bCs/>
          <w:color w:val="1A3A5C"/>
          <w:sz w:val="32"/>
          <w:szCs w:val="32"/>
        </w:rPr>
        <w:t>d’engagement de non-approche</w:t>
      </w:r>
    </w:p>
    <w:p w:rsidRPr="0022056B" w:rsidR="00333EDE" w:rsidRDefault="00333EDE" w14:paraId="6A9836F6" w14:textId="4F567120">
      <w:pPr>
        <w:spacing w:before="360" w:after="160"/>
      </w:pPr>
    </w:p>
    <w:p w:rsidRPr="0022056B" w:rsidR="00333EDE" w:rsidRDefault="00624242" w14:paraId="6C8159B3" w14:textId="533FE213">
      <w:pPr>
        <w:spacing w:before="80" w:after="100"/>
        <w:jc w:val="both"/>
      </w:pPr>
      <w:r w:rsidRPr="0022056B">
        <w:rPr>
          <w:color w:val="1A1A1A"/>
        </w:rPr>
        <w:t xml:space="preserve">La règle </w:t>
      </w:r>
      <w:r w:rsidRPr="0022056B" w:rsidR="006C63D2">
        <w:rPr>
          <w:color w:val="1A1A1A"/>
        </w:rPr>
        <w:t>d’engagement de non-approche</w:t>
      </w:r>
      <w:r w:rsidRPr="0022056B">
        <w:rPr>
          <w:color w:val="1A1A1A"/>
        </w:rPr>
        <w:t xml:space="preserve"> est la norme fondatrice de l'éthique en recherche de cadres : un cabinet ne recrute pas au sein d'une organisation qui est ou a récemment été son client. Cette règle protège la relation de confiance établie avec le client et garantit que le cabinet ne peut pas, d'un même geste, vendre un service à une organisation et la vider de ses meilleurs leaders.</w:t>
      </w:r>
    </w:p>
    <w:p w:rsidRPr="0022056B" w:rsidR="00333EDE" w:rsidRDefault="00624242" w14:paraId="395B1C2B" w14:textId="65D5DE18">
      <w:pPr>
        <w:spacing w:before="80" w:after="100"/>
        <w:jc w:val="both"/>
      </w:pPr>
      <w:r w:rsidRPr="0022056B">
        <w:rPr>
          <w:color w:val="1A1A1A"/>
        </w:rPr>
        <w:t xml:space="preserve">Dans la pratique, la définition des périmètres </w:t>
      </w:r>
      <w:r w:rsidRPr="0022056B" w:rsidR="006C63D2">
        <w:rPr>
          <w:color w:val="1A1A1A"/>
        </w:rPr>
        <w:t>engagement de non-approche</w:t>
      </w:r>
      <w:r w:rsidRPr="0022056B">
        <w:rPr>
          <w:color w:val="1A1A1A"/>
        </w:rPr>
        <w:t xml:space="preserve"> varie considérablement selon les cabinets. Certains appliquent une période de protection de 12 mois, d'autres de 24 mois. Certains la limitent aux divisions directement concernées par un mandat, d'autres l'étendent à l'ensemble de l'organisation. Ces variantes ne sont pas neutres : elles définissent concrètement dans quelle mesure un client peut se fier à la loyauté de son cabinet.</w:t>
      </w:r>
    </w:p>
    <w:p w:rsidRPr="0022056B" w:rsidR="00333EDE" w:rsidRDefault="00333EDE" w14:paraId="77546613"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6"/>
        <w:gridCol w:w="9114"/>
      </w:tblGrid>
      <w:tr w:rsidRPr="0022056B" w:rsidR="00751E10" w:rsidTr="34228AF3" w14:paraId="2946D1AE" w14:textId="77777777">
        <w:tc>
          <w:tcPr>
            <w:tcW w:w="240" w:type="dxa"/>
            <w:tcBorders>
              <w:top w:val="none" w:color="FFFFFF" w:themeColor="background1" w:sz="0" w:space="0"/>
              <w:left w:val="single" w:color="E87722" w:sz="18" w:space="0"/>
              <w:bottom w:val="none" w:color="FFFFFF" w:themeColor="background1" w:sz="0" w:space="0"/>
              <w:right w:val="none" w:color="FFFFFF" w:themeColor="background1" w:sz="0" w:space="0"/>
            </w:tcBorders>
            <w:shd w:val="clear" w:color="auto" w:fill="EBF3FA"/>
          </w:tcPr>
          <w:p w:rsidRPr="0022056B" w:rsidR="00333EDE" w:rsidRDefault="00333EDE" w14:paraId="7BDCD98A" w14:textId="77777777"/>
        </w:tc>
        <w:tc>
          <w:tcPr>
            <w:tcW w:w="888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shd w:val="clear" w:color="auto" w:fill="EBF3FA"/>
            <w:tcMar>
              <w:top w:w="200" w:type="dxa"/>
              <w:left w:w="240" w:type="dxa"/>
              <w:bottom w:w="200" w:type="dxa"/>
              <w:right w:w="240" w:type="dxa"/>
            </w:tcMar>
          </w:tcPr>
          <w:p w:rsidRPr="0022056B" w:rsidR="00333EDE" w:rsidRDefault="1510224C" w14:paraId="62928009" w14:textId="3A57E880">
            <w:pPr>
              <w:rPr>
                <w:b/>
                <w:bCs/>
                <w:color w:val="1A3A5C"/>
              </w:rPr>
            </w:pPr>
            <w:r w:rsidRPr="0022056B">
              <w:rPr>
                <w:b/>
                <w:bCs/>
                <w:color w:val="1A3A5C"/>
              </w:rPr>
              <w:t>Un cabinet éthique documente ses engagements d'</w:t>
            </w:r>
            <w:r w:rsidRPr="0022056B" w:rsidR="023D3B89">
              <w:rPr>
                <w:b/>
                <w:bCs/>
                <w:color w:val="1A3A5C"/>
              </w:rPr>
              <w:t>engagement de non-</w:t>
            </w:r>
            <w:r w:rsidRPr="0022056B" w:rsidR="610D252B">
              <w:rPr>
                <w:b/>
                <w:bCs/>
                <w:color w:val="1A3A5C"/>
              </w:rPr>
              <w:t>approche par</w:t>
            </w:r>
            <w:r w:rsidRPr="0022056B">
              <w:rPr>
                <w:b/>
                <w:bCs/>
                <w:color w:val="1A3A5C"/>
              </w:rPr>
              <w:t xml:space="preserve"> écrit dans ses contrats de mandat. L'absence de clause écrite est en elle-même un signal d'alerte.</w:t>
            </w:r>
          </w:p>
        </w:tc>
      </w:tr>
    </w:tbl>
    <w:p w:rsidRPr="0022056B" w:rsidR="00333EDE" w:rsidRDefault="00333EDE" w14:paraId="1CE6D615" w14:textId="77777777">
      <w:pPr>
        <w:spacing w:before="120" w:after="120"/>
      </w:pPr>
    </w:p>
    <w:p w:rsidRPr="0022056B" w:rsidR="00333EDE" w:rsidRDefault="00624242" w14:paraId="5EAF9D3F" w14:textId="597F41F4">
      <w:pPr>
        <w:spacing w:before="280" w:after="120"/>
        <w:rPr>
          <w:b/>
          <w:bCs/>
          <w:color w:val="1A3A5C"/>
          <w:sz w:val="26"/>
          <w:szCs w:val="26"/>
        </w:rPr>
      </w:pPr>
      <w:r w:rsidRPr="0022056B">
        <w:rPr>
          <w:b/>
          <w:bCs/>
          <w:color w:val="1A3A5C"/>
          <w:sz w:val="26"/>
          <w:szCs w:val="26"/>
        </w:rPr>
        <w:t xml:space="preserve">Les </w:t>
      </w:r>
      <w:r w:rsidRPr="0022056B" w:rsidR="006C63D2">
        <w:rPr>
          <w:b/>
          <w:bCs/>
          <w:color w:val="1A3A5C"/>
          <w:sz w:val="26"/>
          <w:szCs w:val="26"/>
        </w:rPr>
        <w:t>engagement</w:t>
      </w:r>
      <w:r w:rsidRPr="0022056B" w:rsidR="007D1DE8">
        <w:rPr>
          <w:b/>
          <w:bCs/>
          <w:color w:val="1A3A5C"/>
          <w:sz w:val="26"/>
          <w:szCs w:val="26"/>
        </w:rPr>
        <w:t>s</w:t>
      </w:r>
      <w:r w:rsidRPr="0022056B" w:rsidR="006C63D2">
        <w:rPr>
          <w:b/>
          <w:bCs/>
          <w:color w:val="1A3A5C"/>
          <w:sz w:val="26"/>
          <w:szCs w:val="26"/>
        </w:rPr>
        <w:t xml:space="preserve"> de non-approche</w:t>
      </w:r>
      <w:r w:rsidRPr="0022056B">
        <w:rPr>
          <w:b/>
          <w:bCs/>
          <w:color w:val="1A3A5C"/>
          <w:sz w:val="26"/>
          <w:szCs w:val="26"/>
        </w:rPr>
        <w:t xml:space="preserve"> imposés par le client</w:t>
      </w:r>
    </w:p>
    <w:p w:rsidRPr="0022056B" w:rsidR="00333EDE" w:rsidRDefault="1510224C" w14:paraId="12306DE1" w14:textId="720A9AA9">
      <w:pPr>
        <w:spacing w:before="80" w:after="100"/>
        <w:jc w:val="both"/>
        <w:rPr>
          <w:color w:val="1A1A1A"/>
        </w:rPr>
      </w:pPr>
      <w:r w:rsidRPr="0022056B">
        <w:rPr>
          <w:color w:val="1A1A1A"/>
        </w:rPr>
        <w:t>Au-delà de la protection réciproque entre cabinets et clients, il existe une deuxième catégorie d'</w:t>
      </w:r>
      <w:r w:rsidRPr="0022056B" w:rsidR="023D3B89">
        <w:rPr>
          <w:color w:val="1A1A1A"/>
        </w:rPr>
        <w:t xml:space="preserve">engagement de non-approche </w:t>
      </w:r>
      <w:r w:rsidRPr="0022056B">
        <w:rPr>
          <w:color w:val="1A1A1A"/>
        </w:rPr>
        <w:t>tout aussi importante et souvent moins formalisée : les exclusions que le client lui-même souhaite imposer dans le cadre d'un mandat. Ces exclusions peuvent être de plusieurs natures, et un cabinet éthique a l'obligation de les documenter, de les respecter rigoureusement et, lorsqu'elles soulèvent des questions déontologiques, d'en discuter ouvertement.</w:t>
      </w:r>
    </w:p>
    <w:p w:rsidRPr="0022056B" w:rsidR="00333EDE" w:rsidRDefault="00333EDE" w14:paraId="66F40B1B"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Pr="0022056B" w:rsidR="00333EDE" w14:paraId="1ED816E8" w14:textId="77777777">
        <w:tc>
          <w:tcPr>
            <w:tcW w:w="9360" w:type="dxa"/>
            <w:tcBorders>
              <w:top w:val="none" w:color="FFFFFF" w:sz="0" w:space="0"/>
              <w:left w:val="none" w:color="FFFFFF" w:sz="0" w:space="0"/>
              <w:bottom w:val="none" w:color="FFFFFF" w:sz="0" w:space="0"/>
              <w:right w:val="none" w:color="FFFFFF" w:sz="0" w:space="0"/>
            </w:tcBorders>
            <w:shd w:val="clear" w:color="auto" w:fill="EBF3FA"/>
            <w:tcMar>
              <w:top w:w="240" w:type="dxa"/>
              <w:left w:w="360" w:type="dxa"/>
              <w:bottom w:w="240" w:type="dxa"/>
              <w:right w:w="360" w:type="dxa"/>
            </w:tcMar>
          </w:tcPr>
          <w:p w:rsidRPr="0022056B" w:rsidR="00333EDE" w:rsidRDefault="00624242" w14:paraId="3B5AF7C1" w14:textId="407B0C2C">
            <w:pPr>
              <w:spacing w:after="140"/>
            </w:pPr>
            <w:r w:rsidRPr="0022056B">
              <w:rPr>
                <w:b/>
                <w:bCs/>
                <w:color w:val="1A3A5C"/>
              </w:rPr>
              <w:t>TYPES D'</w:t>
            </w:r>
            <w:r w:rsidRPr="0022056B" w:rsidR="006C63D2">
              <w:rPr>
                <w:b/>
                <w:bCs/>
                <w:color w:val="1A3A5C"/>
              </w:rPr>
              <w:t>ENGAGEMENTS DE NON-APPROCHE</w:t>
            </w:r>
            <w:r w:rsidRPr="0022056B">
              <w:rPr>
                <w:b/>
                <w:bCs/>
                <w:color w:val="1A3A5C"/>
              </w:rPr>
              <w:t xml:space="preserve"> IMPOSÉS PAR LE CLIENT</w:t>
            </w:r>
          </w:p>
          <w:p w:rsidRPr="0022056B" w:rsidR="00333EDE" w:rsidRDefault="00624242" w14:paraId="2BDF8500" w14:textId="77777777">
            <w:pPr>
              <w:spacing w:before="80" w:after="40"/>
            </w:pPr>
            <w:r w:rsidRPr="0022056B">
              <w:rPr>
                <w:b/>
                <w:bCs/>
                <w:color w:val="E87722"/>
                <w:sz w:val="21"/>
                <w:szCs w:val="21"/>
              </w:rPr>
              <w:t>Protection des clients et partenaires du client</w:t>
            </w:r>
          </w:p>
          <w:p w:rsidRPr="0022056B" w:rsidR="00333EDE" w:rsidRDefault="00624242" w14:paraId="38FE1B54" w14:textId="77777777">
            <w:pPr>
              <w:spacing w:after="100"/>
            </w:pPr>
            <w:r w:rsidRPr="0022056B">
              <w:rPr>
                <w:sz w:val="21"/>
                <w:szCs w:val="21"/>
              </w:rPr>
              <w:t>Un client peut demander que le cabinet s'abstienne de recruter au sein de ses propres clients ou partenaires stratégiques. Cette clause est légitime et fréquente dans les secteurs où les relations inter-entreprises sont étroites. Elle doit être explicitée, bornée dans le temps et consignée par écrit.</w:t>
            </w:r>
          </w:p>
          <w:p w:rsidRPr="0022056B" w:rsidR="00333EDE" w:rsidRDefault="00624242" w14:paraId="076B468D" w14:textId="77777777">
            <w:pPr>
              <w:spacing w:before="80" w:after="40"/>
            </w:pPr>
            <w:r w:rsidRPr="0022056B">
              <w:rPr>
                <w:b/>
                <w:bCs/>
                <w:color w:val="E87722"/>
                <w:sz w:val="21"/>
                <w:szCs w:val="21"/>
              </w:rPr>
              <w:t>Organisations non recommandables</w:t>
            </w:r>
          </w:p>
          <w:p w:rsidRPr="0022056B" w:rsidR="00333EDE" w:rsidRDefault="00624242" w14:paraId="397E4B51" w14:textId="77777777">
            <w:pPr>
              <w:spacing w:after="100"/>
            </w:pPr>
            <w:r w:rsidRPr="0022056B">
              <w:rPr>
                <w:sz w:val="21"/>
                <w:szCs w:val="21"/>
              </w:rPr>
              <w:t>Un client peut souhaiter exclure des organisations dont la culture, les pratiques de gestion ou la réputation sont incompatibles avec ses valeurs. Un candidat issu d'un milieu où les pratiques de management toxique sont documentées peut présenter des risques culturels réels pour l'organisation. Le cabinet doit tenir compte de cette dimension sans pour autant disqualifier un individu sur la base de simples rumeurs non vérifiées.</w:t>
            </w:r>
          </w:p>
          <w:p w:rsidRPr="0022056B" w:rsidR="00333EDE" w:rsidRDefault="00624242" w14:paraId="3D1C2FD4" w14:textId="77777777">
            <w:pPr>
              <w:spacing w:before="80" w:after="40"/>
            </w:pPr>
            <w:r w:rsidRPr="0022056B">
              <w:rPr>
                <w:b/>
                <w:bCs/>
                <w:color w:val="E87722"/>
                <w:sz w:val="21"/>
                <w:szCs w:val="21"/>
              </w:rPr>
              <w:t>Organisations en situation de scandale ou de crise</w:t>
            </w:r>
          </w:p>
          <w:p w:rsidRPr="0022056B" w:rsidR="00333EDE" w:rsidRDefault="00624242" w14:paraId="7D63A3D7" w14:textId="77777777">
            <w:pPr>
              <w:spacing w:after="100"/>
            </w:pPr>
            <w:r w:rsidRPr="0022056B">
              <w:rPr>
                <w:sz w:val="21"/>
                <w:szCs w:val="21"/>
              </w:rPr>
              <w:t>Lorsqu'une organisation fait face à des enquêtes en cours, des procès publics, des allégations de fraude, de harcèlement systémique ou de gouvernance défaillante, un client peut demander l'exclusion des cadres y ayant exercé des responsabilités clés. Cette exclusion soulève des questions éthiques complexes : le cabinet doit distinguer entre la responsabilité institutionnelle avérée d'un individu et sa simple présence dans une organisation fautive.</w:t>
            </w:r>
          </w:p>
          <w:p w:rsidRPr="0022056B" w:rsidR="00333EDE" w:rsidRDefault="00624242" w14:paraId="72916869" w14:textId="77777777">
            <w:pPr>
              <w:spacing w:before="80" w:after="40"/>
            </w:pPr>
            <w:r w:rsidRPr="0022056B">
              <w:rPr>
                <w:b/>
                <w:bCs/>
                <w:color w:val="E87722"/>
                <w:sz w:val="21"/>
                <w:szCs w:val="21"/>
              </w:rPr>
              <w:t>Secteurs aux pratiques douteuses</w:t>
            </w:r>
          </w:p>
          <w:p w:rsidRPr="0022056B" w:rsidR="00333EDE" w:rsidRDefault="00624242" w14:paraId="4F5F8758" w14:textId="77777777">
            <w:pPr>
              <w:spacing w:after="60"/>
            </w:pPr>
            <w:r w:rsidRPr="0022056B">
              <w:rPr>
                <w:sz w:val="21"/>
                <w:szCs w:val="21"/>
              </w:rPr>
              <w:t>Certains secteurs ou organisations sont associés à des pratiques que le client juge incompatibles avec ses standards éthiques : exploitation de ressources sans égard environnemental, non-respect des droits du travail, opacité fiscale notoire. Un cabinet éthique peut être amené à conseiller son client sur la pertinence et les limites légales de telles exclusions.</w:t>
            </w:r>
          </w:p>
        </w:tc>
      </w:tr>
    </w:tbl>
    <w:p w:rsidR="00333EDE" w:rsidRDefault="00333EDE" w14:paraId="62F39740" w14:textId="77777777">
      <w:pPr>
        <w:spacing w:before="80" w:after="80"/>
      </w:pPr>
    </w:p>
    <w:p w:rsidR="0022056B" w:rsidRDefault="0022056B" w14:paraId="2EBE7C7E" w14:textId="77777777">
      <w:pPr>
        <w:spacing w:before="80" w:after="80"/>
      </w:pPr>
    </w:p>
    <w:p w:rsidR="0022056B" w:rsidRDefault="0022056B" w14:paraId="0307750A" w14:textId="77777777">
      <w:pPr>
        <w:spacing w:before="80" w:after="80"/>
      </w:pPr>
    </w:p>
    <w:p w:rsidR="0022056B" w:rsidRDefault="0022056B" w14:paraId="3A3ACE80" w14:textId="77777777">
      <w:pPr>
        <w:spacing w:before="80" w:after="80"/>
      </w:pPr>
    </w:p>
    <w:p w:rsidR="0022056B" w:rsidRDefault="0022056B" w14:paraId="087F8031" w14:textId="77777777">
      <w:pPr>
        <w:spacing w:before="80" w:after="80"/>
      </w:pPr>
    </w:p>
    <w:p w:rsidRPr="0022056B" w:rsidR="0022056B" w:rsidRDefault="0022056B" w14:paraId="36AE8AB6"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6"/>
        <w:gridCol w:w="9114"/>
      </w:tblGrid>
      <w:tr w:rsidRPr="0022056B" w:rsidR="00915BBF" w:rsidTr="61352E91" w14:paraId="62142306" w14:textId="77777777">
        <w:tc>
          <w:tcPr>
            <w:tcW w:w="240" w:type="dxa"/>
            <w:tcBorders>
              <w:top w:val="none" w:color="FFFFFF" w:themeColor="background1" w:sz="0" w:space="0"/>
              <w:left w:val="single" w:color="E87722" w:sz="18" w:space="0"/>
              <w:bottom w:val="none" w:color="FFFFFF" w:themeColor="background1" w:sz="0" w:space="0"/>
              <w:right w:val="none" w:color="FFFFFF" w:themeColor="background1" w:sz="0" w:space="0"/>
            </w:tcBorders>
            <w:shd w:val="clear" w:color="auto" w:fill="FEF3E8"/>
          </w:tcPr>
          <w:p w:rsidRPr="0022056B" w:rsidR="00333EDE" w:rsidRDefault="00333EDE" w14:paraId="35FE4B57" w14:textId="77777777"/>
        </w:tc>
        <w:tc>
          <w:tcPr>
            <w:tcW w:w="888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shd w:val="clear" w:color="auto" w:fill="FEF3E8"/>
            <w:tcMar>
              <w:top w:w="200" w:type="dxa"/>
              <w:left w:w="240" w:type="dxa"/>
              <w:bottom w:w="200" w:type="dxa"/>
              <w:right w:w="240" w:type="dxa"/>
            </w:tcMar>
          </w:tcPr>
          <w:p w:rsidRPr="0022056B" w:rsidR="00333EDE" w:rsidRDefault="00624242" w14:paraId="779D2151" w14:textId="5E7EDF7C">
            <w:r w:rsidRPr="0022056B">
              <w:rPr>
                <w:b/>
                <w:bCs/>
                <w:color w:val="1A3A5C"/>
              </w:rPr>
              <w:t>Une exclusion clientèle ne dispense pas le cabinet de son propre jugement éthique. Si un client demande d'exclure des candidats sur la base de critères discriminatoires au sens de la Charte des droits et libertés</w:t>
            </w:r>
            <w:r w:rsidRPr="0022056B" w:rsidR="006C63D2">
              <w:rPr>
                <w:b/>
                <w:bCs/>
                <w:color w:val="1A3A5C"/>
              </w:rPr>
              <w:t>,</w:t>
            </w:r>
            <w:r w:rsidRPr="0022056B">
              <w:rPr>
                <w:b/>
                <w:bCs/>
                <w:color w:val="1A3A5C"/>
              </w:rPr>
              <w:t xml:space="preserve"> origine ethnique, âge, sexe, religion le cabinet a l'obligation de refuser cette instruction.</w:t>
            </w:r>
          </w:p>
        </w:tc>
      </w:tr>
    </w:tbl>
    <w:p w:rsidR="0022056B" w:rsidRDefault="0022056B" w14:paraId="2B37891D" w14:textId="77777777">
      <w:pPr>
        <w:spacing w:before="80" w:after="80"/>
      </w:pPr>
    </w:p>
    <w:p w:rsidR="0022056B" w:rsidRDefault="0022056B" w14:paraId="203315D4" w14:textId="77777777">
      <w:pPr>
        <w:spacing w:before="80" w:after="80"/>
      </w:pPr>
    </w:p>
    <w:p w:rsidRPr="0022056B" w:rsidR="00333EDE" w:rsidRDefault="1C8EA24A" w14:paraId="39908E19" w14:textId="0C93E133">
      <w:pPr>
        <w:spacing w:before="80" w:after="80"/>
      </w:pPr>
      <w:r w:rsidRPr="0022056B">
        <w:rPr>
          <w:noProof/>
        </w:rPr>
        <w:drawing>
          <wp:inline distT="0" distB="0" distL="0" distR="0" wp14:anchorId="7E523867" wp14:editId="2EA4F895">
            <wp:extent cx="5943600" cy="3952875"/>
            <wp:effectExtent l="0" t="0" r="0" b="0"/>
            <wp:docPr id="1306835532" name="drawing" descr="Paris - Musée du Louvre: L'Etude et le Génie dévoilent l'a…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35532" name="Picture 1306835532"/>
                    <pic:cNvPicPr/>
                  </pic:nvPicPr>
                  <pic:blipFill>
                    <a:blip r:embed="rId16">
                      <a:extLst>
                        <a:ext uri="{28A0092B-C50C-407E-A947-70E740481C1C}">
                          <a14:useLocalDpi xmlns:a14="http://schemas.microsoft.com/office/drawing/2010/main"/>
                        </a:ext>
                      </a:extLst>
                    </a:blip>
                    <a:stretch>
                      <a:fillRect/>
                    </a:stretch>
                  </pic:blipFill>
                  <pic:spPr>
                    <a:xfrm>
                      <a:off x="0" y="0"/>
                      <a:ext cx="5943600" cy="3952875"/>
                    </a:xfrm>
                    <a:prstGeom prst="rect">
                      <a:avLst/>
                    </a:prstGeom>
                  </pic:spPr>
                </pic:pic>
              </a:graphicData>
            </a:graphic>
          </wp:inline>
        </w:drawing>
      </w:r>
    </w:p>
    <w:p w:rsidR="0022056B" w:rsidRDefault="0022056B" w14:paraId="42375475" w14:textId="77777777">
      <w:pPr>
        <w:spacing w:before="80" w:after="100"/>
        <w:jc w:val="both"/>
        <w:rPr>
          <w:color w:val="1A1A1A"/>
        </w:rPr>
      </w:pPr>
    </w:p>
    <w:p w:rsidRPr="0022056B" w:rsidR="00333EDE" w:rsidRDefault="00624242" w14:paraId="79A824A7" w14:textId="62D9379C">
      <w:pPr>
        <w:spacing w:before="80" w:after="100"/>
        <w:jc w:val="both"/>
      </w:pPr>
      <w:r w:rsidRPr="0022056B">
        <w:rPr>
          <w:color w:val="1A1A1A"/>
        </w:rPr>
        <w:t>La pression exercée par le rééquilibrage du marché et la raréfaction des talents exécutifs crée des tentations de contournement. Des pratiques telles que le recours à des chasseurs indépendants mandatés officieusement pour contourner les exclusions, ou la réorganisation nominale des mandats pour éviter l'application de la règle, sont documentées dans l'industrie nord-américaine.</w:t>
      </w:r>
    </w:p>
    <w:p w:rsidRPr="0022056B" w:rsidR="00333EDE" w:rsidRDefault="00624242" w14:paraId="42931720" w14:textId="77777777">
      <w:pPr>
        <w:spacing w:before="80" w:after="100"/>
        <w:jc w:val="both"/>
      </w:pPr>
      <w:r w:rsidRPr="0022056B">
        <w:rPr>
          <w:color w:val="1A1A1A"/>
        </w:rPr>
        <w:t xml:space="preserve">L'AESC (Association of </w:t>
      </w:r>
      <w:proofErr w:type="spellStart"/>
      <w:r w:rsidRPr="0022056B">
        <w:rPr>
          <w:color w:val="1A1A1A"/>
        </w:rPr>
        <w:t>Executive</w:t>
      </w:r>
      <w:proofErr w:type="spellEnd"/>
      <w:r w:rsidRPr="0022056B">
        <w:rPr>
          <w:color w:val="1A1A1A"/>
        </w:rPr>
        <w:t xml:space="preserve"> Search and Leadership Consultants) stipule dans son Code de déontologie que les membres doivent s'abstenir de solliciter des individus placés chez des clients dans le cadre d'engagements actifs ou récents. La définition de récent demeure l'un des angles morts les plus fréquemment exploités.</w:t>
      </w:r>
    </w:p>
    <w:p w:rsidRPr="0022056B" w:rsidR="00333EDE" w:rsidRDefault="00333EDE" w14:paraId="1FEAF53A" w14:textId="77777777">
      <w:pPr>
        <w:spacing w:before="160" w:after="160"/>
      </w:pPr>
    </w:p>
    <w:p w:rsidRPr="0022056B" w:rsidR="00831304" w:rsidRDefault="00831304" w14:paraId="71F380CD" w14:textId="77777777">
      <w:pPr>
        <w:spacing w:before="360" w:after="160"/>
        <w:rPr>
          <w:b/>
          <w:bCs/>
          <w:color w:val="1A3A5C"/>
          <w:sz w:val="32"/>
          <w:szCs w:val="32"/>
        </w:rPr>
      </w:pPr>
    </w:p>
    <w:p w:rsidRPr="0022056B" w:rsidR="00831304" w:rsidRDefault="00831304" w14:paraId="30DDA680" w14:textId="77777777">
      <w:pPr>
        <w:spacing w:before="360" w:after="160"/>
        <w:rPr>
          <w:b/>
          <w:bCs/>
          <w:color w:val="1A3A5C"/>
          <w:sz w:val="32"/>
          <w:szCs w:val="32"/>
        </w:rPr>
      </w:pPr>
    </w:p>
    <w:p w:rsidRPr="0022056B" w:rsidR="00333EDE" w:rsidRDefault="00624242" w14:paraId="13CE7A4E" w14:textId="42495045">
      <w:pPr>
        <w:spacing w:before="360" w:after="160"/>
      </w:pPr>
      <w:r w:rsidRPr="0022056B">
        <w:rPr>
          <w:b/>
          <w:bCs/>
          <w:color w:val="1A3A5C"/>
          <w:sz w:val="32"/>
          <w:szCs w:val="32"/>
        </w:rPr>
        <w:t>2.2 La confidentialité des candidats</w:t>
      </w:r>
    </w:p>
    <w:p w:rsidRPr="0022056B" w:rsidR="00333EDE" w:rsidRDefault="00624242" w14:paraId="7336B9B5" w14:textId="0E6976C8">
      <w:pPr>
        <w:spacing w:before="80" w:after="100"/>
        <w:jc w:val="both"/>
      </w:pPr>
      <w:r w:rsidRPr="0022056B">
        <w:rPr>
          <w:color w:val="1A1A1A"/>
        </w:rPr>
        <w:t>Un candidat en poste qui entre dans un processus de recrutement exécutif prend un risque professionnel réel : si sa démarche est divulguée à son employeur actuel, les conséquences peuvent être graves. Il fait confiance au cabinet avec l’information la plus sensible son intention de partir.</w:t>
      </w:r>
    </w:p>
    <w:p w:rsidRPr="0022056B" w:rsidR="00333EDE" w:rsidP="34228AF3" w:rsidRDefault="1510224C" w14:paraId="157F3783" w14:textId="114E0A9C">
      <w:pPr>
        <w:spacing w:before="80" w:after="100"/>
        <w:jc w:val="both"/>
        <w:rPr>
          <w:color w:val="1A1A1A"/>
        </w:rPr>
      </w:pPr>
      <w:r w:rsidRPr="0022056B">
        <w:rPr>
          <w:color w:val="1A1A1A"/>
        </w:rPr>
        <w:t>Cette obligation de confidentialité est à la fois légale et déontologique. Au Québec, la Loi 25 (Loi modernisant des dispositions législatives en matière de protection des renseignements personnels) impose des obligations précises aux cabinets de re</w:t>
      </w:r>
      <w:r w:rsidRPr="0022056B" w:rsidR="63559B5C">
        <w:rPr>
          <w:color w:val="1A1A1A"/>
        </w:rPr>
        <w:t>cherche</w:t>
      </w:r>
      <w:r w:rsidRPr="0022056B">
        <w:rPr>
          <w:color w:val="1A1A1A"/>
        </w:rPr>
        <w:t>: collecte minimale, consentement éclairé, durée de conservation définie, droit d’accès et de rectification pour les candidats, et obligation de déclaration en cas d’incident de confidentialité.</w:t>
      </w:r>
    </w:p>
    <w:p w:rsidRPr="0022056B" w:rsidR="00333EDE" w:rsidRDefault="00333EDE" w14:paraId="4C815FA6"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Pr="0022056B" w:rsidR="00333EDE" w14:paraId="467D7DCE" w14:textId="77777777">
        <w:tc>
          <w:tcPr>
            <w:tcW w:w="9360" w:type="dxa"/>
            <w:tcBorders>
              <w:top w:val="none" w:color="FFFFFF" w:sz="0" w:space="0"/>
              <w:left w:val="none" w:color="FFFFFF" w:sz="0" w:space="0"/>
              <w:bottom w:val="none" w:color="FFFFFF" w:sz="0" w:space="0"/>
              <w:right w:val="none" w:color="FFFFFF" w:sz="0" w:space="0"/>
            </w:tcBorders>
            <w:shd w:val="clear" w:color="auto" w:fill="FEF3E8"/>
            <w:tcMar>
              <w:top w:w="240" w:type="dxa"/>
              <w:left w:w="360" w:type="dxa"/>
              <w:bottom w:w="240" w:type="dxa"/>
              <w:right w:w="360" w:type="dxa"/>
            </w:tcMar>
          </w:tcPr>
          <w:p w:rsidRPr="0022056B" w:rsidR="00333EDE" w:rsidRDefault="00624242" w14:paraId="1A3F52F3" w14:textId="77777777">
            <w:pPr>
              <w:spacing w:after="120"/>
            </w:pPr>
            <w:r w:rsidRPr="0022056B">
              <w:rPr>
                <w:b/>
                <w:bCs/>
                <w:color w:val="1A3A5C"/>
              </w:rPr>
              <w:t>CE QUE LA LOI 25 EXIGE CONCRÈTEMENT DES CABINETS DE RECRUTEMENT</w:t>
            </w:r>
          </w:p>
          <w:p w:rsidRPr="0022056B" w:rsidR="00333EDE" w:rsidRDefault="00624242" w14:paraId="0A5E007C" w14:textId="77777777">
            <w:pPr>
              <w:pStyle w:val="ListParagraph"/>
              <w:numPr>
                <w:ilvl w:val="0"/>
                <w:numId w:val="3"/>
              </w:numPr>
              <w:spacing w:before="60" w:after="60"/>
            </w:pPr>
            <w:r w:rsidRPr="0022056B">
              <w:rPr>
                <w:sz w:val="21"/>
                <w:szCs w:val="21"/>
              </w:rPr>
              <w:t>Obtenir le consentement explicite du candidat avant de transmettre son profil à un client</w:t>
            </w:r>
          </w:p>
          <w:p w:rsidRPr="0022056B" w:rsidR="00333EDE" w:rsidRDefault="00624242" w14:paraId="53453E1B" w14:textId="77777777">
            <w:pPr>
              <w:pStyle w:val="ListParagraph"/>
              <w:numPr>
                <w:ilvl w:val="0"/>
                <w:numId w:val="3"/>
              </w:numPr>
              <w:spacing w:before="60" w:after="60"/>
            </w:pPr>
            <w:r w:rsidRPr="0022056B">
              <w:rPr>
                <w:sz w:val="21"/>
                <w:szCs w:val="21"/>
              </w:rPr>
              <w:t>Définir et communiquer les finalités de la collecte de données</w:t>
            </w:r>
          </w:p>
          <w:p w:rsidRPr="0022056B" w:rsidR="00333EDE" w:rsidRDefault="00624242" w14:paraId="226C8054" w14:textId="77777777">
            <w:pPr>
              <w:pStyle w:val="ListParagraph"/>
              <w:numPr>
                <w:ilvl w:val="0"/>
                <w:numId w:val="3"/>
              </w:numPr>
              <w:spacing w:before="60" w:after="60"/>
            </w:pPr>
            <w:r w:rsidRPr="0022056B">
              <w:rPr>
                <w:sz w:val="21"/>
                <w:szCs w:val="21"/>
              </w:rPr>
              <w:t>Nommer un responsable de la protection des renseignements personnels</w:t>
            </w:r>
          </w:p>
          <w:p w:rsidRPr="0022056B" w:rsidR="00333EDE" w:rsidRDefault="00624242" w14:paraId="3783ED49" w14:textId="77777777">
            <w:pPr>
              <w:pStyle w:val="ListParagraph"/>
              <w:numPr>
                <w:ilvl w:val="0"/>
                <w:numId w:val="3"/>
              </w:numPr>
              <w:spacing w:before="60" w:after="60"/>
            </w:pPr>
            <w:r w:rsidRPr="0022056B">
              <w:rPr>
                <w:sz w:val="21"/>
                <w:szCs w:val="21"/>
              </w:rPr>
              <w:t>Prévoir une politique de conservation et de destruction des dossiers de candidats</w:t>
            </w:r>
          </w:p>
          <w:p w:rsidRPr="0022056B" w:rsidR="00333EDE" w:rsidRDefault="00624242" w14:paraId="5B32CA08" w14:textId="77777777">
            <w:pPr>
              <w:pStyle w:val="ListParagraph"/>
              <w:numPr>
                <w:ilvl w:val="0"/>
                <w:numId w:val="3"/>
              </w:numPr>
              <w:spacing w:before="60" w:after="60"/>
            </w:pPr>
            <w:r w:rsidRPr="0022056B">
              <w:rPr>
                <w:sz w:val="21"/>
                <w:szCs w:val="21"/>
              </w:rPr>
              <w:t>Déclarer tout incident de confidentialité à la Commission d’accès à l’information</w:t>
            </w:r>
          </w:p>
        </w:tc>
      </w:tr>
    </w:tbl>
    <w:p w:rsidRPr="0022056B" w:rsidR="00333EDE" w:rsidRDefault="00333EDE" w14:paraId="57502D10" w14:textId="77777777">
      <w:pPr>
        <w:spacing w:before="80" w:after="80"/>
      </w:pPr>
    </w:p>
    <w:p w:rsidRPr="0022056B" w:rsidR="00333EDE" w:rsidP="315D70C2" w:rsidRDefault="1510224C" w14:paraId="39DDA7DD" w14:textId="16AF2624">
      <w:pPr>
        <w:spacing w:before="80" w:after="100"/>
        <w:jc w:val="both"/>
        <w:rPr>
          <w:color w:val="1A1A1A"/>
        </w:rPr>
      </w:pPr>
      <w:r w:rsidRPr="0022056B">
        <w:rPr>
          <w:color w:val="1A1A1A"/>
        </w:rPr>
        <w:t xml:space="preserve">Au-delà des obligations légales, la confidentialité est aussi une question de culture professionnelle. Le simple fait de mentionner le nom d’un candidat en dehors d’un processus formalisé lors d’un </w:t>
      </w:r>
      <w:r w:rsidRPr="0022056B" w:rsidR="023D3B89">
        <w:rPr>
          <w:color w:val="1A1A1A"/>
        </w:rPr>
        <w:t>déjeuner</w:t>
      </w:r>
      <w:r w:rsidRPr="0022056B">
        <w:rPr>
          <w:color w:val="1A1A1A"/>
        </w:rPr>
        <w:t>, dans une conversation informelle avec un client peut constituer une brèche dont les conséquences sont difficiles à mesurer mais potentiellement graves.</w:t>
      </w:r>
    </w:p>
    <w:p w:rsidRPr="0022056B" w:rsidR="00333EDE" w:rsidRDefault="00333EDE" w14:paraId="077D9617" w14:textId="77777777">
      <w:pPr>
        <w:spacing w:before="160" w:after="160"/>
      </w:pPr>
    </w:p>
    <w:p w:rsidRPr="0022056B" w:rsidR="00333EDE" w:rsidRDefault="00624242" w14:paraId="77F3AACC" w14:textId="77777777">
      <w:pPr>
        <w:spacing w:before="360" w:after="160"/>
      </w:pPr>
      <w:r w:rsidRPr="0022056B">
        <w:rPr>
          <w:b/>
          <w:bCs/>
          <w:color w:val="1A3A5C"/>
          <w:sz w:val="32"/>
          <w:szCs w:val="32"/>
        </w:rPr>
        <w:t>2.3 La transparence envers les clients</w:t>
      </w:r>
    </w:p>
    <w:p w:rsidRPr="0022056B" w:rsidR="00333EDE" w:rsidP="34228AF3" w:rsidRDefault="1510224C" w14:paraId="59EC4806" w14:textId="0DD8D733">
      <w:pPr>
        <w:spacing w:before="80" w:after="100"/>
        <w:jc w:val="both"/>
        <w:rPr>
          <w:color w:val="1A1A1A"/>
        </w:rPr>
      </w:pPr>
      <w:r w:rsidRPr="0022056B">
        <w:rPr>
          <w:color w:val="1A1A1A"/>
        </w:rPr>
        <w:t>La relation entre un cabinet de r</w:t>
      </w:r>
      <w:r w:rsidRPr="0022056B" w:rsidR="697740BD">
        <w:rPr>
          <w:color w:val="1A1A1A"/>
        </w:rPr>
        <w:t xml:space="preserve">echerche </w:t>
      </w:r>
      <w:r w:rsidRPr="0022056B">
        <w:rPr>
          <w:color w:val="1A1A1A"/>
        </w:rPr>
        <w:t>et son client est, dans sa forme la plus pure, une relation de conseil. Or, le modèle de rémunération de l’industrie des honoraires souvent liés à la conclusion du placement crée une incitation structurelle à conclure, parfois au détriment de la rigueur.</w:t>
      </w:r>
    </w:p>
    <w:p w:rsidRPr="0022056B" w:rsidR="00333EDE" w:rsidRDefault="00624242" w14:paraId="5893E804" w14:textId="77777777">
      <w:pPr>
        <w:spacing w:before="80" w:after="100"/>
        <w:jc w:val="both"/>
      </w:pPr>
      <w:r w:rsidRPr="0022056B">
        <w:rPr>
          <w:color w:val="1A1A1A"/>
        </w:rPr>
        <w:t>Ce risque se manifeste de plusieurs façons : présenter un candidat avec plus d’enthousiasme que son profil ne le mérite, minimiser les lacunes identifiées lors de l’évaluation, accélérer un processus au détriment d’une recherche exhaustive, ou encore ne pas recommander au client de reporter un recrutement lorsque la situation l’exigerait.</w:t>
      </w:r>
    </w:p>
    <w:p w:rsidRPr="0022056B" w:rsidR="00333EDE" w:rsidRDefault="00333EDE" w14:paraId="3D38D97D"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909"/>
        <w:gridCol w:w="318"/>
        <w:gridCol w:w="2908"/>
        <w:gridCol w:w="317"/>
        <w:gridCol w:w="2908"/>
      </w:tblGrid>
      <w:tr w:rsidRPr="0022056B" w:rsidR="0070280F" w14:paraId="7D1032D3" w14:textId="77777777">
        <w:tc>
          <w:tcPr>
            <w:tcW w:w="220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vAlign w:val="center"/>
          </w:tcPr>
          <w:p w:rsidRPr="0022056B" w:rsidR="00333EDE" w:rsidRDefault="00624242" w14:paraId="48FC69CD" w14:textId="1C199AA5">
            <w:pPr>
              <w:spacing w:after="60"/>
              <w:jc w:val="center"/>
            </w:pPr>
            <w:r w:rsidRPr="0022056B">
              <w:rPr>
                <w:b/>
                <w:bCs/>
                <w:color w:val="E87722"/>
                <w:sz w:val="48"/>
                <w:szCs w:val="48"/>
              </w:rPr>
              <w:t>50</w:t>
            </w:r>
            <w:r w:rsidRPr="0022056B" w:rsidR="006C63D2">
              <w:rPr>
                <w:b/>
                <w:bCs/>
                <w:color w:val="E87722"/>
                <w:sz w:val="48"/>
                <w:szCs w:val="48"/>
              </w:rPr>
              <w:t>-</w:t>
            </w:r>
            <w:r w:rsidRPr="0022056B">
              <w:rPr>
                <w:b/>
                <w:bCs/>
                <w:color w:val="E87722"/>
                <w:sz w:val="48"/>
                <w:szCs w:val="48"/>
              </w:rPr>
              <w:t>213 %</w:t>
            </w:r>
          </w:p>
          <w:p w:rsidRPr="0022056B" w:rsidR="00333EDE" w:rsidRDefault="00624242" w14:paraId="1673ABB3" w14:textId="77777777">
            <w:pPr>
              <w:jc w:val="center"/>
            </w:pPr>
            <w:r w:rsidRPr="0022056B">
              <w:rPr>
                <w:color w:val="555555"/>
                <w:sz w:val="18"/>
                <w:szCs w:val="18"/>
              </w:rPr>
              <w:t>Coût d’un mauvais recrutement exécutif (en % du salaire annuel)</w:t>
            </w:r>
          </w:p>
        </w:tc>
        <w:tc>
          <w:tcPr>
            <w:tcW w:w="240" w:type="dxa"/>
            <w:tcBorders>
              <w:top w:val="none" w:color="FFFFFF" w:sz="0" w:space="0"/>
              <w:left w:val="none" w:color="FFFFFF" w:sz="0" w:space="0"/>
              <w:bottom w:val="none" w:color="FFFFFF" w:sz="0" w:space="0"/>
              <w:right w:val="none" w:color="FFFFFF" w:sz="0" w:space="0"/>
            </w:tcBorders>
            <w:shd w:val="clear" w:color="auto" w:fill="FFFFFF"/>
          </w:tcPr>
          <w:p w:rsidRPr="0022056B" w:rsidR="00333EDE" w:rsidRDefault="00333EDE" w14:paraId="6E8EBDC7" w14:textId="77777777"/>
        </w:tc>
        <w:tc>
          <w:tcPr>
            <w:tcW w:w="220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vAlign w:val="center"/>
          </w:tcPr>
          <w:p w:rsidRPr="0022056B" w:rsidR="00333EDE" w:rsidRDefault="00624242" w14:paraId="75136DA1" w14:textId="77777777">
            <w:pPr>
              <w:spacing w:after="60"/>
              <w:jc w:val="center"/>
            </w:pPr>
            <w:r w:rsidRPr="0022056B">
              <w:rPr>
                <w:b/>
                <w:bCs/>
                <w:color w:val="1A3A5C"/>
                <w:sz w:val="48"/>
                <w:szCs w:val="48"/>
              </w:rPr>
              <w:t>40 %</w:t>
            </w:r>
          </w:p>
          <w:p w:rsidRPr="0022056B" w:rsidR="00333EDE" w:rsidRDefault="00624242" w14:paraId="0561C0E3" w14:textId="77777777">
            <w:pPr>
              <w:jc w:val="center"/>
            </w:pPr>
            <w:r w:rsidRPr="0022056B">
              <w:rPr>
                <w:color w:val="555555"/>
                <w:sz w:val="18"/>
                <w:szCs w:val="18"/>
              </w:rPr>
              <w:t>Dirigeants externes qui échouent dans leurs 2 premières années (HBR)</w:t>
            </w:r>
          </w:p>
        </w:tc>
        <w:tc>
          <w:tcPr>
            <w:tcW w:w="240" w:type="dxa"/>
            <w:tcBorders>
              <w:top w:val="none" w:color="FFFFFF" w:sz="0" w:space="0"/>
              <w:left w:val="none" w:color="FFFFFF" w:sz="0" w:space="0"/>
              <w:bottom w:val="none" w:color="FFFFFF" w:sz="0" w:space="0"/>
              <w:right w:val="none" w:color="FFFFFF" w:sz="0" w:space="0"/>
            </w:tcBorders>
            <w:shd w:val="clear" w:color="auto" w:fill="FFFFFF"/>
          </w:tcPr>
          <w:p w:rsidRPr="0022056B" w:rsidR="00333EDE" w:rsidRDefault="00333EDE" w14:paraId="123180A3" w14:textId="77777777"/>
        </w:tc>
        <w:tc>
          <w:tcPr>
            <w:tcW w:w="220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vAlign w:val="center"/>
          </w:tcPr>
          <w:p w:rsidRPr="0022056B" w:rsidR="00333EDE" w:rsidRDefault="00624242" w14:paraId="10209B39" w14:textId="77777777">
            <w:pPr>
              <w:spacing w:after="60"/>
              <w:jc w:val="center"/>
            </w:pPr>
            <w:r w:rsidRPr="0022056B">
              <w:rPr>
                <w:b/>
                <w:bCs/>
                <w:color w:val="1A3A5C"/>
                <w:sz w:val="48"/>
                <w:szCs w:val="48"/>
              </w:rPr>
              <w:t>2 à 5x</w:t>
            </w:r>
          </w:p>
          <w:p w:rsidRPr="0022056B" w:rsidR="00333EDE" w:rsidRDefault="00624242" w14:paraId="4DEFA16A" w14:textId="77777777">
            <w:pPr>
              <w:jc w:val="center"/>
            </w:pPr>
            <w:r w:rsidRPr="0022056B">
              <w:rPr>
                <w:color w:val="555555"/>
                <w:sz w:val="18"/>
                <w:szCs w:val="18"/>
              </w:rPr>
              <w:t>Retour sur investissement d’un bon processus de sélection (BCG)</w:t>
            </w:r>
          </w:p>
        </w:tc>
      </w:tr>
    </w:tbl>
    <w:p w:rsidRPr="0070280F" w:rsidR="00333EDE" w:rsidRDefault="00624242" w14:paraId="717AC841" w14:textId="77777777">
      <w:pPr>
        <w:spacing w:before="40" w:after="80"/>
        <w:rPr>
          <w:lang w:val="en-CA"/>
        </w:rPr>
      </w:pPr>
      <w:proofErr w:type="gramStart"/>
      <w:r w:rsidRPr="0070280F">
        <w:rPr>
          <w:i/>
          <w:iCs/>
          <w:color w:val="555555"/>
          <w:sz w:val="18"/>
          <w:szCs w:val="18"/>
          <w:lang w:val="en-CA"/>
        </w:rPr>
        <w:t>Sources :</w:t>
      </w:r>
      <w:proofErr w:type="gramEnd"/>
      <w:r w:rsidRPr="0070280F">
        <w:rPr>
          <w:i/>
          <w:iCs/>
          <w:color w:val="555555"/>
          <w:sz w:val="18"/>
          <w:szCs w:val="18"/>
          <w:lang w:val="en-CA"/>
        </w:rPr>
        <w:t xml:space="preserve"> SHRM (2022), Harvard Business Review, Boston Consulting Group</w:t>
      </w:r>
    </w:p>
    <w:p w:rsidRPr="0070280F" w:rsidR="00333EDE" w:rsidRDefault="00333EDE" w14:paraId="0E614C58" w14:textId="77777777">
      <w:pPr>
        <w:spacing w:before="80" w:after="80"/>
        <w:rPr>
          <w:lang w:val="en-CA"/>
        </w:rPr>
      </w:pPr>
    </w:p>
    <w:p w:rsidR="00333EDE" w:rsidRDefault="00624242" w14:paraId="45BA80A5" w14:textId="77777777">
      <w:pPr>
        <w:spacing w:before="80" w:after="100"/>
        <w:jc w:val="both"/>
        <w:rPr>
          <w:color w:val="1A1A1A"/>
        </w:rPr>
      </w:pPr>
      <w:r w:rsidRPr="0022056B">
        <w:rPr>
          <w:color w:val="1A1A1A"/>
        </w:rPr>
        <w:t>La transparence envers le client implique également de lui communiquer l’état réel du marché plutôt que de lui promettre ce qu’il souhaite entendre. Un cabinet éthique conseille son client sur la réalité du bassin de candidats disponibles, sur le positionnement salarial réaliste, et sur le délai réaliste de conclusion d’un processus.</w:t>
      </w:r>
    </w:p>
    <w:p w:rsidRPr="0022056B" w:rsidR="00751E10" w:rsidRDefault="00751E10" w14:paraId="536F0225" w14:textId="77777777">
      <w:pPr>
        <w:spacing w:before="80" w:after="100"/>
        <w:jc w:val="both"/>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6"/>
        <w:gridCol w:w="9114"/>
      </w:tblGrid>
      <w:tr w:rsidRPr="0022056B" w:rsidR="00333EDE" w:rsidTr="315D70C2" w14:paraId="7E1DCC11" w14:textId="77777777">
        <w:tc>
          <w:tcPr>
            <w:tcW w:w="240" w:type="dxa"/>
            <w:tcBorders>
              <w:top w:val="none" w:color="FFFFFF" w:themeColor="background1" w:sz="0" w:space="0"/>
              <w:left w:val="single" w:color="E87722" w:sz="18" w:space="0"/>
              <w:bottom w:val="none" w:color="FFFFFF" w:themeColor="background1" w:sz="0" w:space="0"/>
              <w:right w:val="none" w:color="FFFFFF" w:themeColor="background1" w:sz="0" w:space="0"/>
            </w:tcBorders>
            <w:shd w:val="clear" w:color="auto" w:fill="EBF3FA"/>
          </w:tcPr>
          <w:p w:rsidRPr="0022056B" w:rsidR="00333EDE" w:rsidRDefault="00333EDE" w14:paraId="1EE60805" w14:textId="77777777"/>
        </w:tc>
        <w:tc>
          <w:tcPr>
            <w:tcW w:w="888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shd w:val="clear" w:color="auto" w:fill="EBF3FA"/>
            <w:tcMar>
              <w:top w:w="200" w:type="dxa"/>
              <w:left w:w="240" w:type="dxa"/>
              <w:bottom w:w="200" w:type="dxa"/>
              <w:right w:w="240" w:type="dxa"/>
            </w:tcMar>
          </w:tcPr>
          <w:p w:rsidRPr="0022056B" w:rsidR="00333EDE" w:rsidP="315D70C2" w:rsidRDefault="00624242" w14:paraId="79CE65A1" w14:textId="14DC470C">
            <w:pPr>
              <w:rPr>
                <w:i/>
                <w:iCs/>
                <w:color w:val="1A3A5C"/>
              </w:rPr>
            </w:pPr>
            <w:r w:rsidRPr="0022056B">
              <w:rPr>
                <w:i/>
                <w:iCs/>
                <w:color w:val="1A3A5C"/>
              </w:rPr>
              <w:t>“Un cabinet qui ne vous dit jamais ce que vous ne voulez pas entendre n’est pas un conseiller c’est un vendeur.”</w:t>
            </w:r>
            <w:r w:rsidRPr="0022056B" w:rsidR="5606B8F5">
              <w:rPr>
                <w:i/>
                <w:iCs/>
                <w:color w:val="1A3A5C"/>
              </w:rPr>
              <w:t xml:space="preserve"> </w:t>
            </w:r>
            <w:commentRangeStart w:id="1"/>
            <w:commentRangeEnd w:id="1"/>
            <w:r w:rsidRPr="0022056B">
              <w:rPr>
                <w:rStyle w:val="CommentReference"/>
                <w:i/>
                <w:iCs/>
                <w:color w:val="1A3A5C"/>
                <w:sz w:val="22"/>
                <w:szCs w:val="22"/>
              </w:rPr>
              <w:commentReference w:id="1"/>
            </w:r>
          </w:p>
        </w:tc>
      </w:tr>
    </w:tbl>
    <w:p w:rsidRPr="0022056B" w:rsidR="00333EDE" w:rsidRDefault="00333EDE" w14:paraId="582AAEAC" w14:textId="77777777">
      <w:pPr>
        <w:spacing w:before="160" w:after="160"/>
      </w:pPr>
    </w:p>
    <w:p w:rsidRPr="0022056B" w:rsidR="00672FB2" w:rsidRDefault="00624242" w14:paraId="70837AA0" w14:textId="77777777">
      <w:pPr>
        <w:spacing w:before="360" w:after="160"/>
        <w:rPr>
          <w:b/>
          <w:bCs/>
          <w:color w:val="1A3A5C"/>
          <w:sz w:val="32"/>
          <w:szCs w:val="32"/>
        </w:rPr>
      </w:pPr>
      <w:r w:rsidRPr="0022056B">
        <w:rPr>
          <w:b/>
          <w:bCs/>
          <w:color w:val="1A3A5C"/>
          <w:sz w:val="32"/>
          <w:szCs w:val="32"/>
        </w:rPr>
        <w:t>2.4 La véracité des représentations</w:t>
      </w:r>
    </w:p>
    <w:p w:rsidRPr="0022056B" w:rsidR="00333EDE" w:rsidP="00B024C5" w:rsidRDefault="00B024C5" w14:paraId="787BD81E" w14:textId="5445D062">
      <w:pPr>
        <w:spacing w:before="360" w:after="160"/>
        <w:jc w:val="center"/>
      </w:pPr>
      <w:r>
        <w:rPr>
          <w:noProof/>
        </w:rPr>
        <w:drawing>
          <wp:inline distT="0" distB="0" distL="0" distR="0" wp14:anchorId="155817CC" wp14:editId="03E52892">
            <wp:extent cx="4005330" cy="2500112"/>
            <wp:effectExtent l="0" t="0" r="0" b="0"/>
            <wp:docPr id="104763645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36452" name="Image 7"/>
                    <pic:cNvPicPr>
                      <a:picLocks noChangeAspect="1"/>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4005330" cy="2500112"/>
                    </a:xfrm>
                    <a:prstGeom prst="rect">
                      <a:avLst/>
                    </a:prstGeom>
                  </pic:spPr>
                </pic:pic>
              </a:graphicData>
            </a:graphic>
          </wp:inline>
        </w:drawing>
      </w:r>
    </w:p>
    <w:p w:rsidR="00434CF4" w:rsidRDefault="00624242" w14:paraId="421EFCB8" w14:textId="6E6EBE6B">
      <w:pPr>
        <w:spacing w:before="80" w:after="100"/>
        <w:jc w:val="both"/>
        <w:rPr>
          <w:color w:val="1A1A1A"/>
        </w:rPr>
      </w:pPr>
      <w:r w:rsidRPr="0022056B">
        <w:rPr>
          <w:color w:val="1A1A1A"/>
        </w:rPr>
        <w:t xml:space="preserve">Parallèlement à la transparence envers les clients, les cabinets ont une obligation symétrique de véracité envers les candidats. Le phénomène dit de </w:t>
      </w:r>
      <w:r w:rsidRPr="0022056B" w:rsidR="007D1DE8">
        <w:rPr>
          <w:color w:val="1A1A1A"/>
        </w:rPr>
        <w:t>« </w:t>
      </w:r>
      <w:r w:rsidRPr="0022056B">
        <w:rPr>
          <w:color w:val="1A1A1A"/>
        </w:rPr>
        <w:t>job inflation</w:t>
      </w:r>
      <w:r w:rsidRPr="0022056B" w:rsidR="007D1DE8">
        <w:rPr>
          <w:color w:val="1A1A1A"/>
        </w:rPr>
        <w:t> »</w:t>
      </w:r>
      <w:r w:rsidRPr="0022056B">
        <w:rPr>
          <w:color w:val="1A1A1A"/>
        </w:rPr>
        <w:t xml:space="preserve"> l’embellissement de la description d’un poste, de la culture organisationnelle ou des perspectives de carrière est l’une des causes les plus documentées d’échec en intégration.</w:t>
      </w:r>
    </w:p>
    <w:p w:rsidR="00434CF4" w:rsidRDefault="00434CF4" w14:paraId="298C0064" w14:textId="77777777">
      <w:pPr>
        <w:rPr>
          <w:color w:val="1A1A1A"/>
        </w:rPr>
      </w:pPr>
      <w:r>
        <w:rPr>
          <w:color w:val="1A1A1A"/>
        </w:rPr>
        <w:br w:type="page"/>
      </w:r>
    </w:p>
    <w:p w:rsidRPr="0022056B" w:rsidR="00333EDE" w:rsidRDefault="00333EDE" w14:paraId="11B88263" w14:textId="77777777">
      <w:pPr>
        <w:spacing w:before="80" w:after="100"/>
        <w:jc w:val="both"/>
      </w:pPr>
    </w:p>
    <w:p w:rsidRPr="0022056B" w:rsidR="00333EDE" w:rsidRDefault="00333EDE" w14:paraId="39D20891"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6"/>
        <w:gridCol w:w="9114"/>
      </w:tblGrid>
      <w:tr w:rsidRPr="0022056B" w:rsidR="00915BBF" w14:paraId="68FF3A01" w14:textId="77777777">
        <w:tc>
          <w:tcPr>
            <w:tcW w:w="240" w:type="dxa"/>
            <w:tcBorders>
              <w:top w:val="none" w:color="FFFFFF" w:sz="0" w:space="0"/>
              <w:left w:val="single" w:color="E87722" w:sz="18" w:space="0"/>
              <w:bottom w:val="none" w:color="FFFFFF" w:sz="0" w:space="0"/>
              <w:right w:val="none" w:color="FFFFFF" w:sz="0" w:space="0"/>
            </w:tcBorders>
            <w:shd w:val="clear" w:color="auto" w:fill="EBF3FA"/>
          </w:tcPr>
          <w:p w:rsidRPr="0022056B" w:rsidR="00333EDE" w:rsidRDefault="00333EDE" w14:paraId="499F87D4" w14:textId="77777777"/>
        </w:tc>
        <w:tc>
          <w:tcPr>
            <w:tcW w:w="888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tcPr>
          <w:p w:rsidRPr="0022056B" w:rsidR="00333EDE" w:rsidRDefault="00624242" w14:paraId="082AB21A" w14:textId="77777777">
            <w:r w:rsidRPr="0022056B">
              <w:rPr>
                <w:i/>
                <w:iCs/>
                <w:color w:val="1A3A5C"/>
              </w:rPr>
              <w:t>“58 % des candidats exécutifs rapportent avoir reçu une description inexacte du poste ou de la culture organisationnelle lors d’un processus de recrutement.”</w:t>
            </w:r>
          </w:p>
        </w:tc>
      </w:tr>
    </w:tbl>
    <w:p w:rsidRPr="0022056B" w:rsidR="00333EDE" w:rsidRDefault="00624242" w14:paraId="226118CC" w14:textId="77777777">
      <w:pPr>
        <w:spacing w:before="40" w:after="80"/>
      </w:pPr>
      <w:r w:rsidRPr="0022056B">
        <w:rPr>
          <w:i/>
          <w:iCs/>
          <w:color w:val="555555"/>
          <w:sz w:val="18"/>
          <w:szCs w:val="18"/>
        </w:rPr>
        <w:t>Source : LinkedIn Global Talent Trends, 2024</w:t>
      </w:r>
    </w:p>
    <w:p w:rsidRPr="0022056B" w:rsidR="00333EDE" w:rsidRDefault="00333EDE" w14:paraId="02011B30" w14:textId="77777777">
      <w:pPr>
        <w:spacing w:before="80" w:after="80"/>
      </w:pPr>
    </w:p>
    <w:p w:rsidRPr="0022056B" w:rsidR="00333EDE" w:rsidRDefault="00624242" w14:paraId="7F7CA214" w14:textId="77777777">
      <w:pPr>
        <w:spacing w:before="80" w:after="100"/>
        <w:jc w:val="both"/>
      </w:pPr>
      <w:r w:rsidRPr="0022056B">
        <w:rPr>
          <w:color w:val="1A1A1A"/>
        </w:rPr>
        <w:t>Lorsqu’un dirigeant quitte un poste après six mois parce que la réalité ne correspond pas aux représentations initiales, les conséquences sont trilatérales : l’organisation perd du temps et des ressources, le dirigeant subit un revers de carrière, et le cabinet perd sa crédibilité.</w:t>
      </w:r>
    </w:p>
    <w:p w:rsidRPr="0022056B" w:rsidR="00333EDE" w:rsidRDefault="00624242" w14:paraId="6B62C876" w14:textId="6A395804">
      <w:pPr>
        <w:spacing w:before="80" w:after="100"/>
        <w:jc w:val="both"/>
      </w:pPr>
      <w:r w:rsidRPr="0022056B">
        <w:rPr>
          <w:color w:val="1A1A1A"/>
        </w:rPr>
        <w:t>Le concept d</w:t>
      </w:r>
      <w:r w:rsidRPr="0022056B" w:rsidR="006C63D2">
        <w:rPr>
          <w:color w:val="1A1A1A"/>
        </w:rPr>
        <w:t xml:space="preserve">’aperçu réaliste du travail </w:t>
      </w:r>
      <w:r w:rsidRPr="0022056B" w:rsidR="007D1DE8">
        <w:rPr>
          <w:color w:val="1A1A1A"/>
        </w:rPr>
        <w:t>« </w:t>
      </w:r>
      <w:proofErr w:type="spellStart"/>
      <w:r w:rsidRPr="0022056B">
        <w:rPr>
          <w:color w:val="1A1A1A"/>
        </w:rPr>
        <w:t>realistic</w:t>
      </w:r>
      <w:proofErr w:type="spellEnd"/>
      <w:r w:rsidRPr="0022056B">
        <w:rPr>
          <w:color w:val="1A1A1A"/>
        </w:rPr>
        <w:t xml:space="preserve"> job </w:t>
      </w:r>
      <w:proofErr w:type="spellStart"/>
      <w:r w:rsidRPr="0022056B">
        <w:rPr>
          <w:color w:val="1A1A1A"/>
        </w:rPr>
        <w:t>preview</w:t>
      </w:r>
      <w:proofErr w:type="spellEnd"/>
      <w:r w:rsidRPr="0022056B" w:rsidR="007D1DE8">
        <w:rPr>
          <w:color w:val="1A1A1A"/>
        </w:rPr>
        <w:t> »</w:t>
      </w:r>
      <w:r w:rsidRPr="0022056B">
        <w:rPr>
          <w:color w:val="1A1A1A"/>
        </w:rPr>
        <w:t>, développé en psychologie organisationnelle, démontre de façon consistante que les candidats recrutés avec une description honnête incluant les défis et les limites du poste ont des taux de rétention significativement supérieurs à ceux recrutés avec une présentation embellie.</w:t>
      </w:r>
    </w:p>
    <w:p w:rsidRPr="0022056B" w:rsidR="00333EDE" w:rsidRDefault="00624242" w14:paraId="47B136B3" w14:textId="77777777">
      <w:pPr>
        <w:spacing w:before="80" w:after="100"/>
        <w:jc w:val="both"/>
      </w:pPr>
      <w:r w:rsidRPr="0022056B">
        <w:rPr>
          <w:color w:val="1A1A1A"/>
        </w:rPr>
        <w:t>Un cabinet éthique facilite une information complète et équilibrée : les forces de l’organisation, mais aussi ses enjeux. Les ambitions du poste, mais aussi ses contraintes. La philosophie de gouvernance, mais aussi le style de l’équipe de direction.</w:t>
      </w:r>
    </w:p>
    <w:p w:rsidRPr="0022056B" w:rsidR="00333EDE" w:rsidRDefault="00333EDE" w14:paraId="748C5727" w14:textId="77777777">
      <w:pPr>
        <w:spacing w:before="160" w:after="160"/>
      </w:pPr>
    </w:p>
    <w:p w:rsidRPr="0022056B" w:rsidR="00333EDE" w:rsidRDefault="00624242" w14:paraId="46F8631C" w14:textId="37C82EC4">
      <w:pPr>
        <w:spacing w:before="360" w:after="160"/>
      </w:pPr>
      <w:r w:rsidRPr="0022056B">
        <w:rPr>
          <w:b/>
          <w:bCs/>
          <w:color w:val="1A3A5C"/>
          <w:sz w:val="32"/>
          <w:szCs w:val="32"/>
        </w:rPr>
        <w:t>2.5 L'intégrité des vérifications de références</w:t>
      </w:r>
    </w:p>
    <w:p w:rsidRPr="0022056B" w:rsidR="00333EDE" w:rsidP="315D70C2" w:rsidRDefault="00624242" w14:paraId="41FF1166" w14:textId="5D2A36B6">
      <w:pPr>
        <w:spacing w:before="80" w:after="100"/>
        <w:jc w:val="both"/>
        <w:rPr>
          <w:color w:val="1A1A1A"/>
        </w:rPr>
      </w:pPr>
      <w:r w:rsidRPr="0022056B">
        <w:rPr>
          <w:color w:val="1A1A1A"/>
        </w:rPr>
        <w:t>La vérification des références est l'une des étapes les plus sous-estimées et les plus vulnérables à la dérive éthique du processus de recrutement exécutif. Lorsqu'elle est menée avec rigueur, elle peut révéler des informations déterminantes. Lorsqu'elle est bâclée ou biaisée, elle génère une fausse sécurité.</w:t>
      </w:r>
      <w:r w:rsidRPr="0022056B" w:rsidR="3E899BBE">
        <w:rPr>
          <w:color w:val="1A1A1A"/>
        </w:rPr>
        <w:t xml:space="preserve"> </w:t>
      </w:r>
      <w:commentRangeStart w:id="2"/>
      <w:commentRangeStart w:id="3"/>
      <w:commentRangeEnd w:id="2"/>
      <w:r w:rsidRPr="0022056B">
        <w:rPr>
          <w:rStyle w:val="CommentReference"/>
          <w:color w:val="1A1A1A"/>
          <w:sz w:val="22"/>
          <w:szCs w:val="22"/>
        </w:rPr>
        <w:commentReference w:id="2"/>
      </w:r>
      <w:commentRangeEnd w:id="3"/>
      <w:r>
        <w:rPr>
          <w:rStyle w:val="CommentReference"/>
        </w:rPr>
        <w:commentReference w:id="3"/>
      </w:r>
    </w:p>
    <w:p w:rsidR="005C3E37" w:rsidRDefault="00624242" w14:paraId="714B42EE" w14:textId="7474F2D0">
      <w:pPr>
        <w:spacing w:before="80" w:after="100"/>
        <w:jc w:val="both"/>
        <w:rPr>
          <w:color w:val="1A1A1A"/>
        </w:rPr>
      </w:pPr>
      <w:r w:rsidRPr="0022056B">
        <w:rPr>
          <w:color w:val="1A1A1A"/>
        </w:rPr>
        <w:t>La pratique courante consistant à demander uniquement au candidat de fournir ses références présente une limite évidente : personne ne propose spontanément des références susceptibles de nuire à sa candidature. Un processus de référencement éthique et rigoureux diversifie délibérément ses sources afin d'obtenir une image complète et équilibrée du candidat.</w:t>
      </w:r>
    </w:p>
    <w:p w:rsidR="005C3E37" w:rsidP="00CA292D" w:rsidRDefault="00CA292D" w14:paraId="45940AC0" w14:textId="6C4B1399">
      <w:pPr>
        <w:jc w:val="center"/>
        <w:rPr>
          <w:color w:val="1A1A1A"/>
        </w:rPr>
      </w:pPr>
      <w:r>
        <w:rPr>
          <w:noProof/>
          <w:color w:val="1A1A1A"/>
        </w:rPr>
        <w:drawing>
          <wp:inline distT="0" distB="0" distL="0" distR="0" wp14:anchorId="173BC8F3" wp14:editId="50354E59">
            <wp:extent cx="3400023" cy="2267045"/>
            <wp:effectExtent l="0" t="0" r="0" b="0"/>
            <wp:docPr id="1840110712" name="Image 3" descr="Homme invisible en cost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10712" name="Image 1840110712" descr="Homme invisible en costu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08238" cy="2272522"/>
                    </a:xfrm>
                    <a:prstGeom prst="rect">
                      <a:avLst/>
                    </a:prstGeom>
                  </pic:spPr>
                </pic:pic>
              </a:graphicData>
            </a:graphic>
          </wp:inline>
        </w:drawing>
      </w:r>
      <w:r w:rsidR="005C3E37">
        <w:rPr>
          <w:color w:val="1A1A1A"/>
        </w:rPr>
        <w:br w:type="page"/>
      </w:r>
    </w:p>
    <w:p w:rsidRPr="0022056B" w:rsidR="00333EDE" w:rsidRDefault="00333EDE" w14:paraId="37AFF5C9" w14:textId="77777777">
      <w:pPr>
        <w:spacing w:before="80" w:after="100"/>
        <w:jc w:val="both"/>
      </w:pPr>
    </w:p>
    <w:p w:rsidRPr="0022056B" w:rsidR="00333EDE" w:rsidRDefault="00333EDE" w14:paraId="6F538C3C"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Pr="0022056B" w:rsidR="00333EDE" w14:paraId="02C37B2E" w14:textId="77777777">
        <w:tc>
          <w:tcPr>
            <w:tcW w:w="9360" w:type="dxa"/>
            <w:tcBorders>
              <w:top w:val="none" w:color="FFFFFF" w:sz="0" w:space="0"/>
              <w:left w:val="none" w:color="FFFFFF" w:sz="0" w:space="0"/>
              <w:bottom w:val="none" w:color="FFFFFF" w:sz="0" w:space="0"/>
              <w:right w:val="none" w:color="FFFFFF" w:sz="0" w:space="0"/>
            </w:tcBorders>
            <w:shd w:val="clear" w:color="auto" w:fill="EBF3FA"/>
            <w:tcMar>
              <w:top w:w="240" w:type="dxa"/>
              <w:left w:w="360" w:type="dxa"/>
              <w:bottom w:w="240" w:type="dxa"/>
              <w:right w:w="360" w:type="dxa"/>
            </w:tcMar>
          </w:tcPr>
          <w:p w:rsidRPr="0022056B" w:rsidR="00333EDE" w:rsidRDefault="00624242" w14:paraId="7337C9A9" w14:textId="77777777">
            <w:pPr>
              <w:spacing w:after="140"/>
            </w:pPr>
            <w:r w:rsidRPr="0022056B">
              <w:rPr>
                <w:b/>
                <w:bCs/>
                <w:color w:val="1A3A5C"/>
              </w:rPr>
              <w:t>SOURCES DE RÉFÉRENCES ÉTHIQUEMENT ACCEPTABLES</w:t>
            </w:r>
          </w:p>
          <w:p w:rsidRPr="0022056B" w:rsidR="00333EDE" w:rsidRDefault="00624242" w14:paraId="3E405FF1" w14:textId="77777777">
            <w:pPr>
              <w:spacing w:before="80" w:after="40"/>
            </w:pPr>
            <w:r w:rsidRPr="0022056B">
              <w:rPr>
                <w:b/>
                <w:bCs/>
                <w:color w:val="E87722"/>
                <w:sz w:val="21"/>
                <w:szCs w:val="21"/>
              </w:rPr>
              <w:t>Références proposées par le candidat</w:t>
            </w:r>
          </w:p>
          <w:p w:rsidRPr="0022056B" w:rsidR="00333EDE" w:rsidRDefault="00624242" w14:paraId="46AD6AA8" w14:textId="77777777">
            <w:pPr>
              <w:spacing w:after="100"/>
            </w:pPr>
            <w:r w:rsidRPr="0022056B">
              <w:rPr>
                <w:sz w:val="21"/>
                <w:szCs w:val="21"/>
              </w:rPr>
              <w:t>Point de départ standard, mais insuffisant seul. Ces références fournissent une perspective positive et permettent de valider les forces déclarées du candidat. Elles doivent être complétées par d'autres sources pour équilibrer le portrait.</w:t>
            </w:r>
          </w:p>
          <w:p w:rsidRPr="0022056B" w:rsidR="00333EDE" w:rsidRDefault="00624242" w14:paraId="05E17B2A" w14:textId="77777777">
            <w:pPr>
              <w:spacing w:before="80" w:after="40"/>
            </w:pPr>
            <w:r w:rsidRPr="0022056B">
              <w:rPr>
                <w:b/>
                <w:bCs/>
                <w:color w:val="E87722"/>
                <w:sz w:val="21"/>
                <w:szCs w:val="21"/>
              </w:rPr>
              <w:t>Références demandées par le cabinet (« références croisées »)</w:t>
            </w:r>
          </w:p>
          <w:p w:rsidRPr="0022056B" w:rsidR="00333EDE" w:rsidRDefault="00624242" w14:paraId="363E9C5A" w14:textId="685088E0">
            <w:pPr>
              <w:spacing w:after="100"/>
            </w:pPr>
            <w:r w:rsidRPr="0022056B">
              <w:rPr>
                <w:sz w:val="21"/>
                <w:szCs w:val="21"/>
              </w:rPr>
              <w:t xml:space="preserve">Le cabinet identifie et contacte de façon indépendante des personnes ayant travaillé avec le candidat : anciens supérieurs, collègues, clients internes ou externes. Cette démarche requiert le consentement préalable du candidat, mais elle est l'une des plus révélatrices. </w:t>
            </w:r>
          </w:p>
          <w:p w:rsidRPr="0022056B" w:rsidR="00333EDE" w:rsidRDefault="00624242" w14:paraId="1B00F4FA" w14:textId="77777777">
            <w:pPr>
              <w:spacing w:before="80" w:after="40"/>
            </w:pPr>
            <w:r w:rsidRPr="0022056B">
              <w:rPr>
                <w:b/>
                <w:bCs/>
                <w:color w:val="E87722"/>
                <w:sz w:val="21"/>
                <w:szCs w:val="21"/>
              </w:rPr>
              <w:t>Références ascendantes (superviseurs directs)</w:t>
            </w:r>
          </w:p>
          <w:p w:rsidRPr="0022056B" w:rsidR="00333EDE" w:rsidRDefault="00624242" w14:paraId="0EC2CADA" w14:textId="77777777">
            <w:pPr>
              <w:spacing w:after="100"/>
            </w:pPr>
            <w:r w:rsidRPr="0022056B">
              <w:rPr>
                <w:sz w:val="21"/>
                <w:szCs w:val="21"/>
              </w:rPr>
              <w:t>Parler à des personnes qui ont eu autorité directe sur le candidat est indispensable pour évaluer sa capacité à rendre des comptes, sa rigueur d'exécution et sa gestion sous pression. Ces références sont souvent les plus éclairantes et les plus difficiles à obtenir.</w:t>
            </w:r>
          </w:p>
          <w:p w:rsidRPr="0022056B" w:rsidR="00333EDE" w:rsidRDefault="00624242" w14:paraId="61ECD13A" w14:textId="77777777">
            <w:pPr>
              <w:spacing w:before="80" w:after="40"/>
            </w:pPr>
            <w:r w:rsidRPr="0022056B">
              <w:rPr>
                <w:b/>
                <w:bCs/>
                <w:color w:val="E87722"/>
                <w:sz w:val="21"/>
                <w:szCs w:val="21"/>
              </w:rPr>
              <w:t>Références descendantes (collaborateurs sous l'autorité du candidat)</w:t>
            </w:r>
          </w:p>
          <w:p w:rsidRPr="0022056B" w:rsidR="00333EDE" w:rsidRDefault="00624242" w14:paraId="55239B93" w14:textId="77777777">
            <w:pPr>
              <w:spacing w:after="100"/>
            </w:pPr>
            <w:r w:rsidRPr="0022056B">
              <w:rPr>
                <w:sz w:val="21"/>
                <w:szCs w:val="21"/>
              </w:rPr>
              <w:t xml:space="preserve">Essentielles pour évaluer le style de leadership, la capacité à développer les talents, la gestion des conflits et le respect dans les relations hiérarchiques. Un dirigeant peut </w:t>
            </w:r>
            <w:proofErr w:type="gramStart"/>
            <w:r w:rsidRPr="0022056B">
              <w:rPr>
                <w:sz w:val="21"/>
                <w:szCs w:val="21"/>
              </w:rPr>
              <w:t>avoir une</w:t>
            </w:r>
            <w:proofErr w:type="gramEnd"/>
            <w:r w:rsidRPr="0022056B">
              <w:rPr>
                <w:sz w:val="21"/>
                <w:szCs w:val="21"/>
              </w:rPr>
              <w:t xml:space="preserve"> excellente réputation vers le haut tout en ayant des comportements problématiques envers ses équipes.</w:t>
            </w:r>
          </w:p>
          <w:p w:rsidRPr="0022056B" w:rsidR="00333EDE" w:rsidRDefault="00624242" w14:paraId="521439C2" w14:textId="77777777">
            <w:pPr>
              <w:spacing w:before="80" w:after="40"/>
            </w:pPr>
            <w:r w:rsidRPr="0022056B">
              <w:rPr>
                <w:b/>
                <w:bCs/>
                <w:color w:val="E87722"/>
                <w:sz w:val="21"/>
                <w:szCs w:val="21"/>
              </w:rPr>
              <w:t>Références latérales (pairs et collègues de même niveau)</w:t>
            </w:r>
          </w:p>
          <w:p w:rsidRPr="0022056B" w:rsidR="00333EDE" w:rsidRDefault="00624242" w14:paraId="6CF89BC5" w14:textId="77777777">
            <w:pPr>
              <w:spacing w:after="100"/>
            </w:pPr>
            <w:r w:rsidRPr="0022056B">
              <w:rPr>
                <w:sz w:val="21"/>
                <w:szCs w:val="21"/>
              </w:rPr>
              <w:t>Permettent d'évaluer les compétences de collaboration, la gestion de l'ambiguïté, la réputation professionnelle informelle et le comportement dans des situations de compétition interne. Ces références révèlent souvent des dimensions invisibles dans les entretiens formels.</w:t>
            </w:r>
          </w:p>
          <w:p w:rsidRPr="0022056B" w:rsidR="00333EDE" w:rsidRDefault="00624242" w14:paraId="187CBBAC" w14:textId="77777777">
            <w:pPr>
              <w:spacing w:before="80" w:after="40"/>
            </w:pPr>
            <w:r w:rsidRPr="0022056B">
              <w:rPr>
                <w:b/>
                <w:bCs/>
                <w:color w:val="E87722"/>
                <w:sz w:val="21"/>
                <w:szCs w:val="21"/>
              </w:rPr>
              <w:t>Sources indirectes éthiquement encadrées</w:t>
            </w:r>
          </w:p>
          <w:p w:rsidRPr="0022056B" w:rsidR="00333EDE" w:rsidRDefault="00624242" w14:paraId="04386691" w14:textId="77777777">
            <w:pPr>
              <w:spacing w:after="60"/>
            </w:pPr>
            <w:r w:rsidRPr="0022056B">
              <w:rPr>
                <w:sz w:val="21"/>
                <w:szCs w:val="21"/>
              </w:rPr>
              <w:t>Avec le consentement du candidat, le cabinet peut consulter des sources accessibles au public : publications professionnelles, conférences données, articles signés, publications LinkedIn. Ces sources permettent de valider la cohérence entre l'image publique et le discours privé du candidat. En aucun cas le cabinet ne doit utiliser des informations obtenues de sources privées sans consentement (réseaux sociaux personnels, informations de tiers non contactés officiellement).</w:t>
            </w:r>
          </w:p>
        </w:tc>
      </w:tr>
    </w:tbl>
    <w:p w:rsidRPr="0022056B" w:rsidR="00333EDE" w:rsidRDefault="00333EDE" w14:paraId="20595786"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6"/>
        <w:gridCol w:w="9114"/>
      </w:tblGrid>
      <w:tr w:rsidRPr="0022056B" w:rsidR="00915BBF" w14:paraId="7687E409" w14:textId="77777777">
        <w:tc>
          <w:tcPr>
            <w:tcW w:w="240" w:type="dxa"/>
            <w:tcBorders>
              <w:top w:val="none" w:color="FFFFFF" w:sz="0" w:space="0"/>
              <w:left w:val="single" w:color="E87722" w:sz="18" w:space="0"/>
              <w:bottom w:val="none" w:color="FFFFFF" w:sz="0" w:space="0"/>
              <w:right w:val="none" w:color="FFFFFF" w:sz="0" w:space="0"/>
            </w:tcBorders>
            <w:shd w:val="clear" w:color="auto" w:fill="FEF3E8"/>
          </w:tcPr>
          <w:p w:rsidRPr="0022056B" w:rsidR="00333EDE" w:rsidRDefault="00333EDE" w14:paraId="1E7F71EC" w14:textId="77777777"/>
        </w:tc>
        <w:tc>
          <w:tcPr>
            <w:tcW w:w="8880" w:type="dxa"/>
            <w:tcBorders>
              <w:top w:val="none" w:color="FFFFFF" w:sz="0" w:space="0"/>
              <w:left w:val="none" w:color="FFFFFF" w:sz="0" w:space="0"/>
              <w:bottom w:val="none" w:color="FFFFFF" w:sz="0" w:space="0"/>
              <w:right w:val="none" w:color="FFFFFF" w:sz="0" w:space="0"/>
            </w:tcBorders>
            <w:shd w:val="clear" w:color="auto" w:fill="FEF3E8"/>
            <w:tcMar>
              <w:top w:w="200" w:type="dxa"/>
              <w:left w:w="240" w:type="dxa"/>
              <w:bottom w:w="200" w:type="dxa"/>
              <w:right w:w="240" w:type="dxa"/>
            </w:tcMar>
          </w:tcPr>
          <w:p w:rsidRPr="0022056B" w:rsidR="00333EDE" w:rsidRDefault="00624242" w14:paraId="1A4224BB" w14:textId="77777777">
            <w:r w:rsidRPr="0022056B">
              <w:rPr>
                <w:b/>
                <w:bCs/>
                <w:color w:val="1A3A5C"/>
              </w:rPr>
              <w:t>Toute démarche de référencement au-delà des références proposées par le candidat requiert son consentement explicite et préalable. Le candidat doit savoir qui sera contacté, dans quel but et comment ces informations seront utilisées.</w:t>
            </w:r>
          </w:p>
        </w:tc>
      </w:tr>
    </w:tbl>
    <w:p w:rsidRPr="0022056B" w:rsidR="00333EDE" w:rsidRDefault="00333EDE" w14:paraId="56441FC2" w14:textId="77777777">
      <w:pPr>
        <w:spacing w:before="80" w:after="80"/>
      </w:pPr>
    </w:p>
    <w:p w:rsidRPr="0022056B" w:rsidR="00333EDE" w:rsidP="315D70C2" w:rsidRDefault="00624242" w14:paraId="0E83444D" w14:textId="509FF102">
      <w:pPr>
        <w:spacing w:before="80" w:after="100"/>
        <w:jc w:val="both"/>
        <w:rPr>
          <w:color w:val="1A1A1A"/>
        </w:rPr>
      </w:pPr>
      <w:r w:rsidRPr="0022056B">
        <w:rPr>
          <w:color w:val="1A1A1A"/>
        </w:rPr>
        <w:t>Les standards professionnels de l'AESC recommandent l'entretien de référence à 360 degrés incluant des références provenant de supérieurs, de pairs et de collaborateurs directs. Cette approche permet une image plus complète et réduit le risque de biais de confirmation.</w:t>
      </w:r>
      <w:r w:rsidRPr="0022056B" w:rsidR="519180CF">
        <w:rPr>
          <w:color w:val="1A1A1A"/>
        </w:rPr>
        <w:t xml:space="preserve"> </w:t>
      </w:r>
      <w:commentRangeStart w:id="5"/>
      <w:commentRangeStart w:id="6"/>
      <w:commentRangeEnd w:id="5"/>
      <w:r w:rsidRPr="0022056B">
        <w:rPr>
          <w:rStyle w:val="CommentReference"/>
          <w:color w:val="1A1A1A"/>
          <w:sz w:val="22"/>
          <w:szCs w:val="22"/>
        </w:rPr>
        <w:commentReference w:id="5"/>
      </w:r>
      <w:commentRangeEnd w:id="6"/>
      <w:r>
        <w:rPr>
          <w:rStyle w:val="CommentReference"/>
        </w:rPr>
        <w:commentReference w:id="6"/>
      </w:r>
    </w:p>
    <w:p w:rsidRPr="0022056B" w:rsidR="00F65B00" w:rsidRDefault="00F65B00" w14:paraId="36538A2A" w14:textId="77777777">
      <w:pPr>
        <w:spacing w:before="360" w:after="160"/>
        <w:rPr>
          <w:b/>
          <w:bCs/>
          <w:color w:val="1A3A5C"/>
          <w:sz w:val="32"/>
          <w:szCs w:val="32"/>
        </w:rPr>
      </w:pPr>
    </w:p>
    <w:p w:rsidRPr="0022056B" w:rsidR="00333EDE" w:rsidRDefault="1510224C" w14:paraId="02EF28F6" w14:textId="749FECFD">
      <w:pPr>
        <w:spacing w:before="360" w:after="160"/>
      </w:pPr>
      <w:r w:rsidRPr="0022056B">
        <w:rPr>
          <w:b/>
          <w:bCs/>
          <w:color w:val="1A3A5C"/>
          <w:sz w:val="32"/>
          <w:szCs w:val="32"/>
        </w:rPr>
        <w:t>2.6 L’utilisation éthique de l’intelligence artificielle</w:t>
      </w:r>
    </w:p>
    <w:p w:rsidRPr="0022056B" w:rsidR="00333EDE" w:rsidP="34228AF3" w:rsidRDefault="08846DF9" w14:paraId="2C031626" w14:textId="6BD97E38">
      <w:pPr>
        <w:spacing w:before="80" w:after="100"/>
        <w:jc w:val="both"/>
      </w:pPr>
      <w:r w:rsidRPr="0022056B">
        <w:rPr>
          <w:noProof/>
        </w:rPr>
        <w:drawing>
          <wp:inline distT="0" distB="0" distL="0" distR="0" wp14:anchorId="1A2AC0E5" wp14:editId="2EC9B7C1">
            <wp:extent cx="5943600" cy="3962400"/>
            <wp:effectExtent l="0" t="0" r="0" b="0"/>
            <wp:docPr id="4008305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30527" name="Picture 400830527"/>
                    <pic:cNvPicPr/>
                  </pic:nvPicPr>
                  <pic:blipFill>
                    <a:blip r:embed="rId20">
                      <a:extLst>
                        <a:ext uri="{28A0092B-C50C-407E-A947-70E740481C1C}">
                          <a14:useLocalDpi xmlns:a14="http://schemas.microsoft.com/office/drawing/2010/main"/>
                        </a:ext>
                      </a:extLst>
                    </a:blip>
                    <a:stretch>
                      <a:fillRect/>
                    </a:stretch>
                  </pic:blipFill>
                  <pic:spPr>
                    <a:xfrm>
                      <a:off x="0" y="0"/>
                      <a:ext cx="5943600" cy="3962400"/>
                    </a:xfrm>
                    <a:prstGeom prst="rect">
                      <a:avLst/>
                    </a:prstGeom>
                  </pic:spPr>
                </pic:pic>
              </a:graphicData>
            </a:graphic>
          </wp:inline>
        </w:drawing>
      </w:r>
      <w:r w:rsidRPr="0022056B" w:rsidR="1510224C">
        <w:rPr>
          <w:color w:val="1A1A1A"/>
        </w:rPr>
        <w:t xml:space="preserve">L’intelligence artificielle s’invite dans le recrutement exécutif. Des outils de tri de CV, d’analyse comportementale, de présélection conversationnelle et de </w:t>
      </w:r>
      <w:r w:rsidRPr="0022056B" w:rsidR="023D3B89">
        <w:rPr>
          <w:color w:val="1A1A1A"/>
        </w:rPr>
        <w:t>notation</w:t>
      </w:r>
      <w:r w:rsidRPr="0022056B" w:rsidR="1510224C">
        <w:rPr>
          <w:color w:val="1A1A1A"/>
        </w:rPr>
        <w:t xml:space="preserve"> de candidats sont désormais disponibles et de plus en plus utilisés. Cette transformation porte en elle des promesses d’efficacité, mais aussi des risques éthiques significatifs qui méritent une attention particulière.</w:t>
      </w:r>
    </w:p>
    <w:p w:rsidRPr="0022056B" w:rsidR="00333EDE" w:rsidRDefault="00333EDE" w14:paraId="0D756CCD"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438"/>
        <w:gridCol w:w="484"/>
        <w:gridCol w:w="4438"/>
      </w:tblGrid>
      <w:tr w:rsidRPr="0022056B" w:rsidR="00333EDE" w14:paraId="36961A60" w14:textId="77777777">
        <w:tc>
          <w:tcPr>
            <w:tcW w:w="220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vAlign w:val="center"/>
          </w:tcPr>
          <w:p w:rsidRPr="0022056B" w:rsidR="00333EDE" w:rsidRDefault="00624242" w14:paraId="6CDBB967" w14:textId="77777777">
            <w:pPr>
              <w:spacing w:after="60"/>
              <w:jc w:val="center"/>
            </w:pPr>
            <w:r w:rsidRPr="0022056B">
              <w:rPr>
                <w:b/>
                <w:bCs/>
                <w:color w:val="1A3A5C"/>
                <w:sz w:val="48"/>
                <w:szCs w:val="48"/>
              </w:rPr>
              <w:t>44 %</w:t>
            </w:r>
          </w:p>
          <w:p w:rsidRPr="0022056B" w:rsidR="00333EDE" w:rsidRDefault="00624242" w14:paraId="4464A8D1" w14:textId="77777777">
            <w:pPr>
              <w:jc w:val="center"/>
            </w:pPr>
            <w:proofErr w:type="gramStart"/>
            <w:r w:rsidRPr="0022056B">
              <w:rPr>
                <w:color w:val="555555"/>
                <w:sz w:val="18"/>
                <w:szCs w:val="18"/>
              </w:rPr>
              <w:t>des</w:t>
            </w:r>
            <w:proofErr w:type="gramEnd"/>
            <w:r w:rsidRPr="0022056B">
              <w:rPr>
                <w:color w:val="555555"/>
                <w:sz w:val="18"/>
                <w:szCs w:val="18"/>
              </w:rPr>
              <w:t xml:space="preserve"> organisations utilisent l’IA dans leur processus de sélection</w:t>
            </w:r>
          </w:p>
        </w:tc>
        <w:tc>
          <w:tcPr>
            <w:tcW w:w="240" w:type="dxa"/>
            <w:tcBorders>
              <w:top w:val="none" w:color="FFFFFF" w:sz="0" w:space="0"/>
              <w:left w:val="none" w:color="FFFFFF" w:sz="0" w:space="0"/>
              <w:bottom w:val="none" w:color="FFFFFF" w:sz="0" w:space="0"/>
              <w:right w:val="none" w:color="FFFFFF" w:sz="0" w:space="0"/>
            </w:tcBorders>
            <w:shd w:val="clear" w:color="auto" w:fill="FFFFFF"/>
          </w:tcPr>
          <w:p w:rsidRPr="0022056B" w:rsidR="00333EDE" w:rsidRDefault="00333EDE" w14:paraId="64AD3244" w14:textId="77777777"/>
        </w:tc>
        <w:tc>
          <w:tcPr>
            <w:tcW w:w="220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vAlign w:val="center"/>
          </w:tcPr>
          <w:p w:rsidRPr="0022056B" w:rsidR="00333EDE" w:rsidRDefault="00624242" w14:paraId="636E3A76" w14:textId="77777777">
            <w:pPr>
              <w:spacing w:after="60"/>
              <w:jc w:val="center"/>
            </w:pPr>
            <w:r w:rsidRPr="0022056B">
              <w:rPr>
                <w:b/>
                <w:bCs/>
                <w:color w:val="E87722"/>
                <w:sz w:val="48"/>
                <w:szCs w:val="48"/>
              </w:rPr>
              <w:t>&lt;15 %</w:t>
            </w:r>
          </w:p>
          <w:p w:rsidRPr="0022056B" w:rsidR="00333EDE" w:rsidRDefault="00624242" w14:paraId="16C59FF4" w14:textId="77777777">
            <w:pPr>
              <w:jc w:val="center"/>
            </w:pPr>
            <w:proofErr w:type="gramStart"/>
            <w:r w:rsidRPr="0022056B">
              <w:rPr>
                <w:color w:val="555555"/>
                <w:sz w:val="18"/>
                <w:szCs w:val="18"/>
              </w:rPr>
              <w:t>auditent</w:t>
            </w:r>
            <w:proofErr w:type="gramEnd"/>
            <w:r w:rsidRPr="0022056B">
              <w:rPr>
                <w:color w:val="555555"/>
                <w:sz w:val="18"/>
                <w:szCs w:val="18"/>
              </w:rPr>
              <w:t xml:space="preserve"> leurs algorithmes pour détecter des biais systémiques</w:t>
            </w:r>
          </w:p>
        </w:tc>
      </w:tr>
    </w:tbl>
    <w:p w:rsidRPr="0022056B" w:rsidR="00333EDE" w:rsidRDefault="00624242" w14:paraId="377E9A56" w14:textId="77777777">
      <w:pPr>
        <w:spacing w:before="40" w:after="80"/>
      </w:pPr>
      <w:r w:rsidRPr="0022056B">
        <w:rPr>
          <w:i/>
          <w:iCs/>
          <w:color w:val="555555"/>
          <w:sz w:val="18"/>
          <w:szCs w:val="18"/>
        </w:rPr>
        <w:t>Source : Deloitte, Global Human Capital Trends, 2024</w:t>
      </w:r>
    </w:p>
    <w:p w:rsidRPr="0022056B" w:rsidR="00333EDE" w:rsidRDefault="00333EDE" w14:paraId="0EF39755" w14:textId="77777777">
      <w:pPr>
        <w:spacing w:before="80" w:after="80"/>
      </w:pPr>
    </w:p>
    <w:p w:rsidRPr="0022056B" w:rsidR="00333EDE" w:rsidRDefault="00624242" w14:paraId="3201534C" w14:textId="77777777">
      <w:pPr>
        <w:spacing w:before="80" w:after="100"/>
        <w:jc w:val="both"/>
      </w:pPr>
      <w:r w:rsidRPr="0022056B">
        <w:rPr>
          <w:color w:val="1A1A1A"/>
        </w:rPr>
        <w:t xml:space="preserve">Les biais algorithmiques sont documentés de façon croissante dans la littérature scientifique. Les travaux de Joy Buolamwini du MIT Media </w:t>
      </w:r>
      <w:proofErr w:type="spellStart"/>
      <w:r w:rsidRPr="0022056B">
        <w:rPr>
          <w:color w:val="1A1A1A"/>
        </w:rPr>
        <w:t>Lab</w:t>
      </w:r>
      <w:proofErr w:type="spellEnd"/>
      <w:r w:rsidRPr="0022056B">
        <w:rPr>
          <w:color w:val="1A1A1A"/>
        </w:rPr>
        <w:t xml:space="preserve"> (2023) </w:t>
      </w:r>
      <w:proofErr w:type="gramStart"/>
      <w:r w:rsidRPr="0022056B">
        <w:rPr>
          <w:color w:val="1A1A1A"/>
        </w:rPr>
        <w:t>ont</w:t>
      </w:r>
      <w:proofErr w:type="gramEnd"/>
      <w:r w:rsidRPr="0022056B">
        <w:rPr>
          <w:color w:val="1A1A1A"/>
        </w:rPr>
        <w:t xml:space="preserve"> démontré que des systèmes de reconnaissance faciale et d’analyse comportementale présentent des taux d’erreur significativement plus élevés pour les femmes et les personnes d’origine africaine. Appliqués au recrutement, ces biais peuvent éliminer silencieusement des candidats qualifiés sur la base de caractéristiques non pertinentes.</w:t>
      </w:r>
    </w:p>
    <w:p w:rsidRPr="0022056B" w:rsidR="00333EDE" w:rsidRDefault="00624242" w14:paraId="77E56605" w14:textId="75CF7DA7">
      <w:pPr>
        <w:spacing w:before="80" w:after="100"/>
        <w:jc w:val="both"/>
      </w:pPr>
      <w:r w:rsidRPr="0022056B">
        <w:rPr>
          <w:color w:val="1A1A1A"/>
        </w:rPr>
        <w:t>Au Québec et au Canada, bien que le cadre spécifique à l’IA soit encore en développement, la Loi 25 et la Loi canadienne sur la protection des renseignements personnels et les documents électroniques (LPRPDE) imposent déjà des obligations de transparence applicables.</w:t>
      </w:r>
    </w:p>
    <w:p w:rsidRPr="0022056B" w:rsidR="00333EDE" w:rsidRDefault="00333EDE" w14:paraId="3687BEBC"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Pr="0022056B" w:rsidR="00333EDE" w14:paraId="35BE92A9" w14:textId="77777777">
        <w:tc>
          <w:tcPr>
            <w:tcW w:w="9360" w:type="dxa"/>
            <w:tcBorders>
              <w:top w:val="none" w:color="FFFFFF" w:sz="0" w:space="0"/>
              <w:left w:val="none" w:color="FFFFFF" w:sz="0" w:space="0"/>
              <w:bottom w:val="none" w:color="FFFFFF" w:sz="0" w:space="0"/>
              <w:right w:val="none" w:color="FFFFFF" w:sz="0" w:space="0"/>
            </w:tcBorders>
            <w:shd w:val="clear" w:color="auto" w:fill="FEF3E8"/>
            <w:tcMar>
              <w:top w:w="240" w:type="dxa"/>
              <w:left w:w="360" w:type="dxa"/>
              <w:bottom w:w="240" w:type="dxa"/>
              <w:right w:w="360" w:type="dxa"/>
            </w:tcMar>
          </w:tcPr>
          <w:p w:rsidRPr="0022056B" w:rsidR="00333EDE" w:rsidRDefault="00624242" w14:paraId="10AD01F3" w14:textId="77777777">
            <w:pPr>
              <w:spacing w:after="120"/>
            </w:pPr>
            <w:r w:rsidRPr="0022056B">
              <w:rPr>
                <w:b/>
                <w:bCs/>
                <w:color w:val="1A3A5C"/>
              </w:rPr>
              <w:t>QUESTIONS QUE TOUT CLIENT DEVRAIT POSER À SON CABINET SUR L’USAGE DE L’IA</w:t>
            </w:r>
          </w:p>
          <w:p w:rsidRPr="0022056B" w:rsidR="00333EDE" w:rsidRDefault="00624242" w14:paraId="58307DF9" w14:textId="77777777">
            <w:pPr>
              <w:pStyle w:val="ListParagraph"/>
              <w:numPr>
                <w:ilvl w:val="0"/>
                <w:numId w:val="3"/>
              </w:numPr>
              <w:spacing w:before="60" w:after="60"/>
            </w:pPr>
            <w:r w:rsidRPr="0022056B">
              <w:rPr>
                <w:sz w:val="21"/>
                <w:szCs w:val="21"/>
              </w:rPr>
              <w:t>Utilisez-vous des outils d’IA dans ce processus ? À quelle étape ?</w:t>
            </w:r>
          </w:p>
          <w:p w:rsidRPr="0022056B" w:rsidR="00333EDE" w:rsidRDefault="00624242" w14:paraId="575DAA39" w14:textId="77777777">
            <w:pPr>
              <w:pStyle w:val="ListParagraph"/>
              <w:numPr>
                <w:ilvl w:val="0"/>
                <w:numId w:val="3"/>
              </w:numPr>
              <w:spacing w:before="60" w:after="60"/>
            </w:pPr>
            <w:r w:rsidRPr="0022056B">
              <w:rPr>
                <w:sz w:val="21"/>
                <w:szCs w:val="21"/>
              </w:rPr>
              <w:t>Ces outils ont-ils été audités pour détecter des biais liés au genre, à l’âge ou à l’origine ?</w:t>
            </w:r>
          </w:p>
          <w:p w:rsidRPr="0022056B" w:rsidR="00333EDE" w:rsidRDefault="00624242" w14:paraId="3F5834B5" w14:textId="77777777">
            <w:pPr>
              <w:pStyle w:val="ListParagraph"/>
              <w:numPr>
                <w:ilvl w:val="0"/>
                <w:numId w:val="3"/>
              </w:numPr>
              <w:spacing w:before="60" w:after="60"/>
            </w:pPr>
            <w:r w:rsidRPr="0022056B">
              <w:rPr>
                <w:sz w:val="21"/>
                <w:szCs w:val="21"/>
              </w:rPr>
              <w:t>Un être humain qualifié valide-t-il systématiquement les décisions générées par l’IA ?</w:t>
            </w:r>
          </w:p>
          <w:p w:rsidRPr="0022056B" w:rsidR="00333EDE" w:rsidRDefault="00624242" w14:paraId="35EAE217" w14:textId="77777777">
            <w:pPr>
              <w:pStyle w:val="ListParagraph"/>
              <w:numPr>
                <w:ilvl w:val="0"/>
                <w:numId w:val="3"/>
              </w:numPr>
              <w:spacing w:before="60" w:after="60"/>
            </w:pPr>
            <w:r w:rsidRPr="0022056B">
              <w:rPr>
                <w:sz w:val="21"/>
                <w:szCs w:val="21"/>
              </w:rPr>
              <w:t>Les candidats sont-ils informés qu’ils font l’objet d’une évaluation algorithmique ?</w:t>
            </w:r>
          </w:p>
          <w:p w:rsidRPr="0022056B" w:rsidR="00333EDE" w:rsidRDefault="00624242" w14:paraId="0EF05A22" w14:textId="77777777">
            <w:pPr>
              <w:pStyle w:val="ListParagraph"/>
              <w:numPr>
                <w:ilvl w:val="0"/>
                <w:numId w:val="3"/>
              </w:numPr>
              <w:spacing w:before="60" w:after="60"/>
            </w:pPr>
            <w:r w:rsidRPr="0022056B">
              <w:rPr>
                <w:sz w:val="21"/>
                <w:szCs w:val="21"/>
              </w:rPr>
              <w:t>Quelle est votre politique de conservation des données générées par ces outils ?</w:t>
            </w:r>
          </w:p>
        </w:tc>
      </w:tr>
    </w:tbl>
    <w:p w:rsidRPr="0022056B" w:rsidR="00333EDE" w:rsidRDefault="00333EDE" w14:paraId="6B0D1BBC" w14:textId="77777777">
      <w:pPr>
        <w:spacing w:before="80" w:after="80"/>
      </w:pPr>
    </w:p>
    <w:p w:rsidRPr="0022056B" w:rsidR="00831304" w:rsidRDefault="00333EDE" w14:paraId="2FE295EA" w14:textId="210D9D56">
      <w:pPr>
        <w:spacing w:before="160" w:after="160"/>
      </w:pPr>
      <w:commentRangeStart w:id="7"/>
      <w:commentRangeStart w:id="8"/>
      <w:commentRangeEnd w:id="7"/>
      <w:r w:rsidRPr="0022056B">
        <w:rPr>
          <w:rStyle w:val="CommentReference"/>
          <w:sz w:val="22"/>
          <w:szCs w:val="22"/>
        </w:rPr>
        <w:commentReference w:id="7"/>
      </w:r>
      <w:commentRangeEnd w:id="8"/>
      <w:r>
        <w:rPr>
          <w:rStyle w:val="CommentReference"/>
        </w:rPr>
        <w:commentReference w:id="8"/>
      </w:r>
    </w:p>
    <w:p w:rsidRPr="0022056B" w:rsidR="00333EDE" w:rsidRDefault="00624242" w14:paraId="6FCE692F" w14:textId="766B264C">
      <w:pPr>
        <w:spacing w:before="360" w:after="160"/>
      </w:pPr>
      <w:r w:rsidRPr="0022056B">
        <w:rPr>
          <w:b/>
          <w:bCs/>
          <w:color w:val="1A3A5C"/>
          <w:sz w:val="32"/>
          <w:szCs w:val="32"/>
        </w:rPr>
        <w:t>2.7 La relation post-placement et l’accompagnement à l’intégration</w:t>
      </w:r>
    </w:p>
    <w:p w:rsidRPr="0022056B" w:rsidR="00333EDE" w:rsidRDefault="00624242" w14:paraId="5CA6154D" w14:textId="00559B5F">
      <w:pPr>
        <w:spacing w:before="80" w:after="100"/>
        <w:jc w:val="both"/>
      </w:pPr>
      <w:r w:rsidRPr="0022056B">
        <w:rPr>
          <w:color w:val="1A1A1A"/>
        </w:rPr>
        <w:t>L’enjeu de la relation post-placement est l’un des moins visibles et pourtant l’un des plus révélateurs de la posture éthique d’un cabinet. Une fois les honoraires encaissés et la signature obtenue, le candidat nouvellement recruté entre dans une période d’intégration critique. Que fait le cabinet à ce stade ?</w:t>
      </w:r>
    </w:p>
    <w:p w:rsidRPr="0022056B" w:rsidR="00333EDE" w:rsidRDefault="00624242" w14:paraId="6A8C1418" w14:textId="77777777">
      <w:pPr>
        <w:spacing w:before="80" w:after="100"/>
        <w:jc w:val="both"/>
      </w:pPr>
      <w:r w:rsidRPr="0022056B">
        <w:rPr>
          <w:color w:val="1A1A1A"/>
        </w:rPr>
        <w:t xml:space="preserve">Les données sont préoccupantes. Selon Harvard Business </w:t>
      </w:r>
      <w:proofErr w:type="spellStart"/>
      <w:r w:rsidRPr="0022056B">
        <w:rPr>
          <w:color w:val="1A1A1A"/>
        </w:rPr>
        <w:t>Review</w:t>
      </w:r>
      <w:proofErr w:type="spellEnd"/>
      <w:r w:rsidRPr="0022056B">
        <w:rPr>
          <w:color w:val="1A1A1A"/>
        </w:rPr>
        <w:t>, 40 % des dirigeants recrutés de l’externe échouent ou quittent dans leurs deux premières années. Egon Zehnder documente que la principale cause de ces échecs n’est pas une lacune de compétences techniques, mais une insuffisance dans l’intégration culturelle et la construction de relations internes.</w:t>
      </w:r>
    </w:p>
    <w:p w:rsidRPr="0022056B" w:rsidR="00333EDE" w:rsidRDefault="00624242" w14:paraId="1AEBD6DB" w14:textId="0D187AED">
      <w:pPr>
        <w:spacing w:before="80" w:after="100"/>
        <w:jc w:val="both"/>
      </w:pPr>
      <w:r w:rsidRPr="0022056B">
        <w:rPr>
          <w:color w:val="1A1A1A"/>
        </w:rPr>
        <w:t>Le "syndrome de la commission encaissée" désigne cette tendance à considérer le mandat terminé lorsque l’entente est signée. Un cabinet véritablement engagé envers ses clients et envers ses candidats maintient un suivi actif durant les 90 à 180 premiers jours d’intégration.</w:t>
      </w:r>
    </w:p>
    <w:p w:rsidRPr="0022056B" w:rsidR="00333EDE" w:rsidRDefault="00333EDE" w14:paraId="649E45E1"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6"/>
        <w:gridCol w:w="9114"/>
      </w:tblGrid>
      <w:tr w:rsidRPr="0022056B" w:rsidR="00915BBF" w14:paraId="1B627A7C" w14:textId="77777777">
        <w:tc>
          <w:tcPr>
            <w:tcW w:w="240" w:type="dxa"/>
            <w:tcBorders>
              <w:top w:val="none" w:color="FFFFFF" w:sz="0" w:space="0"/>
              <w:left w:val="single" w:color="E87722" w:sz="18" w:space="0"/>
              <w:bottom w:val="none" w:color="FFFFFF" w:sz="0" w:space="0"/>
              <w:right w:val="none" w:color="FFFFFF" w:sz="0" w:space="0"/>
            </w:tcBorders>
            <w:shd w:val="clear" w:color="auto" w:fill="EBF3FA"/>
          </w:tcPr>
          <w:p w:rsidRPr="0022056B" w:rsidR="00333EDE" w:rsidRDefault="00333EDE" w14:paraId="26EBBD07" w14:textId="77777777"/>
        </w:tc>
        <w:tc>
          <w:tcPr>
            <w:tcW w:w="8880" w:type="dxa"/>
            <w:tcBorders>
              <w:top w:val="none" w:color="FFFFFF" w:sz="0" w:space="0"/>
              <w:left w:val="none" w:color="FFFFFF" w:sz="0" w:space="0"/>
              <w:bottom w:val="none" w:color="FFFFFF" w:sz="0" w:space="0"/>
              <w:right w:val="none" w:color="FFFFFF" w:sz="0" w:space="0"/>
            </w:tcBorders>
            <w:shd w:val="clear" w:color="auto" w:fill="EBF3FA"/>
            <w:tcMar>
              <w:top w:w="200" w:type="dxa"/>
              <w:left w:w="240" w:type="dxa"/>
              <w:bottom w:w="200" w:type="dxa"/>
              <w:right w:w="240" w:type="dxa"/>
            </w:tcMar>
          </w:tcPr>
          <w:p w:rsidRPr="0022056B" w:rsidR="00333EDE" w:rsidRDefault="00624242" w14:paraId="3CBF8BC9" w14:textId="301210EF">
            <w:r w:rsidRPr="0022056B">
              <w:rPr>
                <w:i/>
                <w:iCs/>
                <w:color w:val="1A3A5C"/>
              </w:rPr>
              <w:t>“Un placement n’est pas un succès à la signature c’est un succès lorsque le dirigeant a créé de la valeur mesurable dans ses 18 premiers mois.”</w:t>
            </w:r>
          </w:p>
        </w:tc>
      </w:tr>
    </w:tbl>
    <w:p w:rsidRPr="0022056B" w:rsidR="00333EDE" w:rsidRDefault="00333EDE" w14:paraId="2C01A012" w14:textId="77777777">
      <w:pPr>
        <w:spacing w:before="80" w:after="80"/>
      </w:pPr>
    </w:p>
    <w:p w:rsidRPr="0022056B" w:rsidR="00333EDE" w:rsidP="315D70C2" w:rsidRDefault="1510224C" w14:paraId="55668EC8" w14:textId="2F8292C0">
      <w:pPr>
        <w:spacing w:before="80" w:after="100"/>
        <w:jc w:val="both"/>
        <w:rPr>
          <w:color w:val="1A1A1A"/>
        </w:rPr>
      </w:pPr>
      <w:r w:rsidRPr="0022056B">
        <w:rPr>
          <w:color w:val="1A1A1A"/>
        </w:rPr>
        <w:t>La garantie de remplacement offerte par les cabinets généralement de 6 à 12 mois</w:t>
      </w:r>
      <w:r w:rsidRPr="0022056B" w:rsidR="62E52873">
        <w:rPr>
          <w:color w:val="1A1A1A"/>
        </w:rPr>
        <w:t xml:space="preserve"> mais peut aller </w:t>
      </w:r>
      <w:r w:rsidRPr="0022056B" w:rsidR="03740878">
        <w:rPr>
          <w:color w:val="1A1A1A"/>
        </w:rPr>
        <w:t>jusqu’à plus de</w:t>
      </w:r>
      <w:r w:rsidRPr="0022056B" w:rsidR="62E52873">
        <w:rPr>
          <w:color w:val="1A1A1A"/>
        </w:rPr>
        <w:t xml:space="preserve"> 18 mois. Elle</w:t>
      </w:r>
      <w:r w:rsidRPr="0022056B">
        <w:rPr>
          <w:color w:val="1A1A1A"/>
        </w:rPr>
        <w:t xml:space="preserve"> peut être interprétée de deux façons : comme un filet de sécurité commercial, ou comme un véritable engagement de responsabilisation. La distinction réside dans la proactivité du suivi post-placement : un cabinet éthique n’attend pas que les problèmes émergent pour intervenir.</w:t>
      </w:r>
      <w:r w:rsidRPr="0022056B" w:rsidR="549E7FC9">
        <w:rPr>
          <w:color w:val="1A1A1A"/>
        </w:rPr>
        <w:t xml:space="preserve"> </w:t>
      </w:r>
      <w:commentRangeStart w:id="9"/>
      <w:commentRangeStart w:id="10"/>
      <w:commentRangeEnd w:id="9"/>
      <w:r w:rsidRPr="0022056B" w:rsidR="00624242">
        <w:rPr>
          <w:rStyle w:val="CommentReference"/>
          <w:color w:val="1A1A1A"/>
          <w:sz w:val="22"/>
          <w:szCs w:val="22"/>
        </w:rPr>
        <w:commentReference w:id="9"/>
      </w:r>
      <w:commentRangeEnd w:id="10"/>
      <w:r>
        <w:rPr>
          <w:rStyle w:val="CommentReference"/>
        </w:rPr>
        <w:commentReference w:id="10"/>
      </w:r>
    </w:p>
    <w:p w:rsidRPr="0022056B" w:rsidR="00333EDE" w:rsidRDefault="00624242" w14:paraId="5A8069FE" w14:textId="77777777">
      <w:r w:rsidRPr="0022056B">
        <w:br w:type="page"/>
      </w:r>
    </w:p>
    <w:p w:rsidRPr="0022056B" w:rsidR="00333EDE" w:rsidRDefault="00624242" w14:paraId="0B6F1F3A" w14:textId="77777777">
      <w:pPr>
        <w:spacing w:after="60"/>
      </w:pPr>
      <w:r w:rsidRPr="0022056B">
        <w:rPr>
          <w:b/>
          <w:bCs/>
          <w:color w:val="E87722"/>
          <w:sz w:val="20"/>
          <w:szCs w:val="20"/>
        </w:rPr>
        <w:t>PARTIE 3</w:t>
      </w:r>
    </w:p>
    <w:p w:rsidRPr="0022056B" w:rsidR="00333EDE" w:rsidRDefault="00624242" w14:paraId="410DA167" w14:textId="77777777">
      <w:pPr>
        <w:pBdr>
          <w:bottom w:val="single" w:color="E87722" w:sz="6" w:space="1"/>
        </w:pBdr>
      </w:pPr>
      <w:r w:rsidRPr="0022056B">
        <w:rPr>
          <w:b/>
          <w:bCs/>
          <w:color w:val="1A3A5C"/>
          <w:sz w:val="40"/>
          <w:szCs w:val="40"/>
        </w:rPr>
        <w:t>L’éthique comme différenciateur stratégique</w:t>
      </w:r>
    </w:p>
    <w:p w:rsidRPr="0022056B" w:rsidR="00333EDE" w:rsidRDefault="00333EDE" w14:paraId="42F5C223" w14:textId="77777777">
      <w:pPr>
        <w:spacing w:before="200" w:after="200"/>
      </w:pPr>
    </w:p>
    <w:p w:rsidRPr="0022056B" w:rsidR="00333EDE" w:rsidRDefault="00624242" w14:paraId="69258AC2" w14:textId="77777777">
      <w:pPr>
        <w:spacing w:before="360" w:after="160"/>
      </w:pPr>
      <w:r w:rsidRPr="0022056B">
        <w:rPr>
          <w:b/>
          <w:bCs/>
          <w:color w:val="1A3A5C"/>
          <w:sz w:val="32"/>
          <w:szCs w:val="32"/>
        </w:rPr>
        <w:t>3.1 Ce que les organisations clientes devraient exiger</w:t>
      </w:r>
    </w:p>
    <w:p w:rsidRPr="0022056B" w:rsidR="00333EDE" w:rsidRDefault="00624242" w14:paraId="604930B5" w14:textId="77777777">
      <w:pPr>
        <w:spacing w:before="80" w:after="100"/>
        <w:jc w:val="both"/>
      </w:pPr>
      <w:r w:rsidRPr="0022056B">
        <w:rPr>
          <w:color w:val="1A1A1A"/>
        </w:rPr>
        <w:t>Le choix d’un cabinet de recrutement exécutif est lui-même une décision stratégique. Trop souvent, les organisations sélectionnent leurs partenaires de recrutement sur la base de la notoriété ou du prix, sans évaluer rigoureusement leurs engagements éthiques. Voici les questions fondamentales à poser.</w:t>
      </w:r>
    </w:p>
    <w:p w:rsidRPr="0022056B" w:rsidR="00333EDE" w:rsidRDefault="00333EDE" w14:paraId="72DE6FBC"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Pr="0022056B" w:rsidR="00333EDE" w14:paraId="17CA2292" w14:textId="77777777">
        <w:tc>
          <w:tcPr>
            <w:tcW w:w="9360" w:type="dxa"/>
            <w:tcBorders>
              <w:top w:val="none" w:color="FFFFFF" w:sz="0" w:space="0"/>
              <w:left w:val="none" w:color="FFFFFF" w:sz="0" w:space="0"/>
              <w:bottom w:val="none" w:color="FFFFFF" w:sz="0" w:space="0"/>
              <w:right w:val="none" w:color="FFFFFF" w:sz="0" w:space="0"/>
            </w:tcBorders>
            <w:shd w:val="clear" w:color="auto" w:fill="EBF3FA"/>
            <w:tcMar>
              <w:top w:w="240" w:type="dxa"/>
              <w:left w:w="360" w:type="dxa"/>
              <w:bottom w:w="240" w:type="dxa"/>
              <w:right w:w="360" w:type="dxa"/>
            </w:tcMar>
          </w:tcPr>
          <w:p w:rsidRPr="0022056B" w:rsidR="00333EDE" w:rsidRDefault="00624242" w14:paraId="5A717349" w14:textId="77777777">
            <w:pPr>
              <w:spacing w:after="120"/>
            </w:pPr>
            <w:r w:rsidRPr="0022056B">
              <w:rPr>
                <w:b/>
                <w:bCs/>
                <w:color w:val="1A3A5C"/>
              </w:rPr>
              <w:t>5 SIGNAUX D’ALERTE QUI INDIQUENT UN CABINET AUX PRATIQUES DOUTEUSES</w:t>
            </w:r>
          </w:p>
          <w:p w:rsidRPr="0022056B" w:rsidR="00333EDE" w:rsidP="006C63D2" w:rsidRDefault="00624242" w14:paraId="4D609840" w14:textId="6AFFAC91">
            <w:pPr>
              <w:pStyle w:val="ListParagraph"/>
              <w:numPr>
                <w:ilvl w:val="0"/>
                <w:numId w:val="3"/>
              </w:numPr>
              <w:spacing w:before="60" w:after="60"/>
              <w:rPr>
                <w:sz w:val="21"/>
                <w:szCs w:val="21"/>
              </w:rPr>
            </w:pPr>
            <w:r w:rsidRPr="0022056B">
              <w:rPr>
                <w:sz w:val="21"/>
                <w:szCs w:val="21"/>
              </w:rPr>
              <w:t>Absence de clause d’</w:t>
            </w:r>
            <w:r w:rsidRPr="0022056B" w:rsidR="006C63D2">
              <w:rPr>
                <w:sz w:val="21"/>
                <w:szCs w:val="21"/>
              </w:rPr>
              <w:t>engagement de non-approche</w:t>
            </w:r>
            <w:r w:rsidRPr="0022056B">
              <w:rPr>
                <w:sz w:val="21"/>
                <w:szCs w:val="21"/>
              </w:rPr>
              <w:t xml:space="preserve"> écrite dans le contrat de mandat</w:t>
            </w:r>
          </w:p>
          <w:p w:rsidRPr="0022056B" w:rsidR="00333EDE" w:rsidRDefault="00624242" w14:paraId="0DBDBC33" w14:textId="77777777">
            <w:pPr>
              <w:pStyle w:val="ListParagraph"/>
              <w:numPr>
                <w:ilvl w:val="0"/>
                <w:numId w:val="3"/>
              </w:numPr>
              <w:spacing w:before="60" w:after="60"/>
            </w:pPr>
            <w:r w:rsidRPr="0022056B">
              <w:rPr>
                <w:sz w:val="21"/>
                <w:szCs w:val="21"/>
              </w:rPr>
              <w:t>Incapacité à décrire son processus de vérification de références</w:t>
            </w:r>
          </w:p>
          <w:p w:rsidRPr="0022056B" w:rsidR="00333EDE" w:rsidRDefault="00624242" w14:paraId="42E9A80D" w14:textId="77777777">
            <w:pPr>
              <w:pStyle w:val="ListParagraph"/>
              <w:numPr>
                <w:ilvl w:val="0"/>
                <w:numId w:val="3"/>
              </w:numPr>
              <w:spacing w:before="60" w:after="60"/>
            </w:pPr>
            <w:r w:rsidRPr="0022056B">
              <w:rPr>
                <w:sz w:val="21"/>
                <w:szCs w:val="21"/>
              </w:rPr>
              <w:t>Présentation d’un candidat sans rapport d’évaluation structuré</w:t>
            </w:r>
          </w:p>
          <w:p w:rsidRPr="0022056B" w:rsidR="00333EDE" w:rsidRDefault="00624242" w14:paraId="18E0C50E" w14:textId="77777777">
            <w:pPr>
              <w:pStyle w:val="ListParagraph"/>
              <w:numPr>
                <w:ilvl w:val="0"/>
                <w:numId w:val="3"/>
              </w:numPr>
              <w:spacing w:before="60" w:after="60"/>
            </w:pPr>
            <w:r w:rsidRPr="0022056B">
              <w:rPr>
                <w:sz w:val="21"/>
                <w:szCs w:val="21"/>
              </w:rPr>
              <w:t>Absence de suivi post-placement systématique</w:t>
            </w:r>
          </w:p>
          <w:p w:rsidRPr="0022056B" w:rsidR="00333EDE" w:rsidRDefault="00624242" w14:paraId="01F464C2" w14:textId="77777777">
            <w:pPr>
              <w:pStyle w:val="ListParagraph"/>
              <w:numPr>
                <w:ilvl w:val="0"/>
                <w:numId w:val="3"/>
              </w:numPr>
              <w:spacing w:before="60" w:after="60"/>
            </w:pPr>
            <w:r w:rsidRPr="0022056B">
              <w:rPr>
                <w:sz w:val="21"/>
                <w:szCs w:val="21"/>
              </w:rPr>
              <w:t>Réticence à dévoiler ses outils et méthodologies d’évaluation</w:t>
            </w:r>
          </w:p>
        </w:tc>
      </w:tr>
    </w:tbl>
    <w:p w:rsidRPr="0022056B" w:rsidR="00333EDE" w:rsidRDefault="00333EDE" w14:paraId="409D0871" w14:textId="77777777">
      <w:pPr>
        <w:spacing w:before="160" w:after="160"/>
      </w:pPr>
    </w:p>
    <w:p w:rsidRPr="0022056B" w:rsidR="00333EDE" w:rsidRDefault="1510224C" w14:paraId="5C9E691E" w14:textId="484232A3">
      <w:pPr>
        <w:spacing w:before="360" w:after="160"/>
      </w:pPr>
      <w:r w:rsidRPr="0022056B">
        <w:rPr>
          <w:b/>
          <w:bCs/>
          <w:color w:val="1A3A5C"/>
          <w:sz w:val="32"/>
          <w:szCs w:val="32"/>
        </w:rPr>
        <w:t>3.</w:t>
      </w:r>
      <w:r w:rsidRPr="0022056B" w:rsidR="18BF1C3D">
        <w:rPr>
          <w:b/>
          <w:bCs/>
          <w:color w:val="1A3A5C"/>
          <w:sz w:val="32"/>
          <w:szCs w:val="32"/>
        </w:rPr>
        <w:t>2</w:t>
      </w:r>
      <w:r w:rsidRPr="0022056B">
        <w:rPr>
          <w:b/>
          <w:bCs/>
          <w:color w:val="1A3A5C"/>
          <w:sz w:val="32"/>
          <w:szCs w:val="32"/>
        </w:rPr>
        <w:t xml:space="preserve"> Le cadre réglementaire québécois</w:t>
      </w:r>
    </w:p>
    <w:p w:rsidRPr="0022056B" w:rsidR="00333EDE" w:rsidRDefault="00624242" w14:paraId="443384DB" w14:textId="77777777">
      <w:pPr>
        <w:spacing w:before="80" w:after="100"/>
        <w:jc w:val="both"/>
      </w:pPr>
      <w:r w:rsidRPr="0022056B">
        <w:rPr>
          <w:color w:val="1A1A1A"/>
        </w:rPr>
        <w:t>Le Québec dispose d’un cadre législatif pertinent pour baliser les pratiques éthiques en recrutement exécutif, bien que ce cadre ne soit pas toujours connu ou appliqué avec rigueur.</w:t>
      </w:r>
    </w:p>
    <w:p w:rsidRPr="0022056B" w:rsidR="00333EDE" w:rsidP="0067066E" w:rsidRDefault="1510224C" w14:paraId="4CE14823" w14:textId="7B990E8E">
      <w:pPr>
        <w:spacing w:before="80" w:after="100"/>
        <w:jc w:val="both"/>
      </w:pPr>
      <w:r w:rsidRPr="0022056B">
        <w:rPr>
          <w:color w:val="1A1A1A"/>
        </w:rPr>
        <w:t>La Loi 25 entrée en application progressive depuis 2022 impose des obligations substantielles en matière de protection des renseignements personnels qui s’appliquent directement aux cabinets de recrutement. La Charte des droits et libertés de la personne interdit la discrimination à l’embauche sur la base de l’âge, du sexe, de l’origine ethnique ou de la religion. L’Ordre des CRHA publie des normes professionnelles en dotation qui constituent un standard de référence, même pour les cabinets dont les membres ne sont pas tous conseillers en ressources humaines agréés.</w:t>
      </w:r>
    </w:p>
    <w:p w:rsidRPr="0022056B" w:rsidR="00333EDE" w:rsidP="34228AF3" w:rsidRDefault="7A06BDA8" w14:paraId="533B1AE1" w14:textId="114287D4">
      <w:pPr>
        <w:jc w:val="both"/>
      </w:pPr>
      <w:commentRangeStart w:id="11"/>
      <w:commentRangeStart w:id="12"/>
      <w:commentRangeStart w:id="13"/>
      <w:r w:rsidRPr="0022056B">
        <w:rPr>
          <w:color w:val="1A1A1A"/>
        </w:rPr>
        <w:t xml:space="preserve"> </w:t>
      </w:r>
      <w:commentRangeEnd w:id="11"/>
      <w:r w:rsidRPr="0022056B" w:rsidR="00624242">
        <w:rPr>
          <w:rStyle w:val="CommentReference"/>
          <w:sz w:val="22"/>
          <w:szCs w:val="22"/>
        </w:rPr>
        <w:commentReference w:id="11"/>
      </w:r>
      <w:commentRangeEnd w:id="12"/>
      <w:r>
        <w:rPr>
          <w:rStyle w:val="CommentReference"/>
        </w:rPr>
        <w:commentReference w:id="12"/>
      </w:r>
      <w:commentRangeEnd w:id="13"/>
      <w:r>
        <w:rPr>
          <w:rStyle w:val="CommentReference"/>
        </w:rPr>
        <w:commentReference w:id="13"/>
      </w:r>
      <w:r w:rsidRPr="0022056B" w:rsidR="00624242">
        <w:br w:type="page"/>
      </w:r>
    </w:p>
    <w:p w:rsidRPr="0022056B" w:rsidR="00333EDE" w:rsidRDefault="00624242" w14:paraId="1D831B8F" w14:textId="77777777">
      <w:pPr>
        <w:spacing w:after="60"/>
      </w:pPr>
      <w:r w:rsidRPr="0022056B">
        <w:rPr>
          <w:b/>
          <w:bCs/>
          <w:color w:val="E87722"/>
          <w:sz w:val="20"/>
          <w:szCs w:val="20"/>
        </w:rPr>
        <w:t>PARTIE 4</w:t>
      </w:r>
    </w:p>
    <w:p w:rsidRPr="0022056B" w:rsidR="00333EDE" w:rsidRDefault="00624242" w14:paraId="49C4ED0E" w14:textId="77777777">
      <w:pPr>
        <w:pBdr>
          <w:bottom w:val="single" w:color="E87722" w:sz="6" w:space="1"/>
        </w:pBdr>
      </w:pPr>
      <w:r w:rsidRPr="0022056B">
        <w:rPr>
          <w:b/>
          <w:bCs/>
          <w:color w:val="1A3A5C"/>
          <w:sz w:val="40"/>
          <w:szCs w:val="40"/>
        </w:rPr>
        <w:t>Perspectives et recommandations</w:t>
      </w:r>
    </w:p>
    <w:p w:rsidRPr="0022056B" w:rsidR="00333EDE" w:rsidRDefault="00333EDE" w14:paraId="22C6FD17" w14:textId="77777777">
      <w:pPr>
        <w:spacing w:before="200" w:after="200"/>
      </w:pPr>
    </w:p>
    <w:p w:rsidRPr="0022056B" w:rsidR="00333EDE" w:rsidRDefault="00624242" w14:paraId="46E82E60" w14:textId="77777777">
      <w:pPr>
        <w:spacing w:before="360" w:after="160"/>
      </w:pPr>
      <w:r w:rsidRPr="0022056B">
        <w:rPr>
          <w:b/>
          <w:bCs/>
          <w:color w:val="1A3A5C"/>
          <w:sz w:val="32"/>
          <w:szCs w:val="32"/>
        </w:rPr>
        <w:t>4.1 Les tendances qui vont redéfinir l’éthique du recrutement d’ici 2030</w:t>
      </w:r>
    </w:p>
    <w:p w:rsidRPr="0022056B" w:rsidR="00333EDE" w:rsidRDefault="00624242" w14:paraId="5447FC9B" w14:textId="77777777">
      <w:pPr>
        <w:spacing w:before="280" w:after="120"/>
      </w:pPr>
      <w:r w:rsidRPr="0022056B">
        <w:rPr>
          <w:b/>
          <w:bCs/>
          <w:color w:val="1A3A5C"/>
          <w:sz w:val="26"/>
          <w:szCs w:val="26"/>
        </w:rPr>
        <w:t>L’IA générative et les nouveaux risques d’authenticité</w:t>
      </w:r>
    </w:p>
    <w:p w:rsidRPr="0022056B" w:rsidR="00333EDE" w:rsidRDefault="00624242" w14:paraId="68B29714" w14:textId="77777777">
      <w:pPr>
        <w:spacing w:before="80" w:after="100"/>
        <w:jc w:val="both"/>
      </w:pPr>
      <w:r w:rsidRPr="0022056B">
        <w:rPr>
          <w:color w:val="1A1A1A"/>
        </w:rPr>
        <w:t>L’émergence de l’IA générative crée de nouveaux risques d’authenticité dans les processus de recrutement : CV générés, lettres personnalisées automatiques, réponses aux entretiens optimisées par algorithmes. Ces développements mettront à l’épreuve la capacité des cabinets à évaluer l’authenticité des candidats et à adapter leurs méthodologies.</w:t>
      </w:r>
    </w:p>
    <w:p w:rsidRPr="0022056B" w:rsidR="00333EDE" w:rsidRDefault="00624242" w14:paraId="265AD320" w14:textId="77777777">
      <w:pPr>
        <w:spacing w:before="280" w:after="120"/>
      </w:pPr>
      <w:r w:rsidRPr="0022056B">
        <w:rPr>
          <w:b/>
          <w:bCs/>
          <w:color w:val="1A3A5C"/>
          <w:sz w:val="26"/>
          <w:szCs w:val="26"/>
        </w:rPr>
        <w:t>La pression démographique et la tentation de baisser les standards</w:t>
      </w:r>
    </w:p>
    <w:p w:rsidRPr="0022056B" w:rsidR="00333EDE" w:rsidRDefault="00624242" w14:paraId="05624BF2" w14:textId="77777777">
      <w:pPr>
        <w:spacing w:before="80" w:after="100"/>
        <w:jc w:val="both"/>
      </w:pPr>
      <w:r w:rsidRPr="0022056B">
        <w:rPr>
          <w:color w:val="1A1A1A"/>
        </w:rPr>
        <w:t>La vague de départs à la retraite des baby-boomers créera une demande soutenue pour des leaders expérimentés. Dans ce contexte de raréfaction, la tentation sera grande pour certains cabinets de présenter des candidats insuffisamment qualifiés, ou d’écourter les processus de validation. L’éthique professionnelle sera mise à l’épreuve précisément dans ces moments de pression.</w:t>
      </w:r>
    </w:p>
    <w:p w:rsidRPr="0022056B" w:rsidR="00333EDE" w:rsidRDefault="00624242" w14:paraId="270823CF" w14:textId="77777777">
      <w:pPr>
        <w:spacing w:before="280" w:after="120"/>
      </w:pPr>
      <w:r w:rsidRPr="0022056B">
        <w:rPr>
          <w:b/>
          <w:bCs/>
          <w:color w:val="1A3A5C"/>
          <w:sz w:val="26"/>
          <w:szCs w:val="26"/>
        </w:rPr>
        <w:t>Les attentes croissantes en matière de diversité et d’équité</w:t>
      </w:r>
    </w:p>
    <w:p w:rsidRPr="0022056B" w:rsidR="00333EDE" w:rsidRDefault="00624242" w14:paraId="7E528C12" w14:textId="77777777">
      <w:pPr>
        <w:spacing w:before="80" w:after="100"/>
        <w:jc w:val="both"/>
      </w:pPr>
      <w:r w:rsidRPr="0022056B">
        <w:rPr>
          <w:color w:val="1A1A1A"/>
        </w:rPr>
        <w:t>Les conseils d’administration, les investisseurs et les organisations elles-mêmes formulent des exigences de plus en plus précises en matière de diversité dans les postes de direction. Cette tendance transforme l’éthique de l’équité dans le recrutement d’une valeur déclarative en un impératif opérationnel mesurable.</w:t>
      </w:r>
    </w:p>
    <w:p w:rsidRPr="0022056B" w:rsidR="00333EDE" w:rsidRDefault="00333EDE" w14:paraId="3FD48081" w14:textId="77777777">
      <w:pPr>
        <w:spacing w:before="160" w:after="160"/>
      </w:pPr>
    </w:p>
    <w:p w:rsidRPr="0022056B" w:rsidR="0067066E" w:rsidRDefault="0067066E" w14:paraId="62C3EDF7" w14:textId="77777777">
      <w:pPr>
        <w:spacing w:before="360" w:after="160"/>
        <w:rPr>
          <w:b/>
          <w:bCs/>
          <w:color w:val="1A3A5C"/>
          <w:sz w:val="32"/>
          <w:szCs w:val="32"/>
        </w:rPr>
      </w:pPr>
    </w:p>
    <w:p w:rsidRPr="0022056B" w:rsidR="0067066E" w:rsidRDefault="0067066E" w14:paraId="6962FF1F" w14:textId="77777777">
      <w:pPr>
        <w:spacing w:before="360" w:after="160"/>
        <w:rPr>
          <w:b/>
          <w:bCs/>
          <w:color w:val="1A3A5C"/>
          <w:sz w:val="32"/>
          <w:szCs w:val="32"/>
        </w:rPr>
      </w:pPr>
    </w:p>
    <w:p w:rsidRPr="0022056B" w:rsidR="0067066E" w:rsidRDefault="0067066E" w14:paraId="2170B808" w14:textId="77777777">
      <w:pPr>
        <w:spacing w:before="360" w:after="160"/>
        <w:rPr>
          <w:b/>
          <w:bCs/>
          <w:color w:val="1A3A5C"/>
          <w:sz w:val="32"/>
          <w:szCs w:val="32"/>
        </w:rPr>
      </w:pPr>
    </w:p>
    <w:p w:rsidRPr="0022056B" w:rsidR="0067066E" w:rsidRDefault="0067066E" w14:paraId="417EFD72" w14:textId="77777777">
      <w:pPr>
        <w:spacing w:before="360" w:after="160"/>
        <w:rPr>
          <w:b/>
          <w:bCs/>
          <w:color w:val="1A3A5C"/>
          <w:sz w:val="32"/>
          <w:szCs w:val="32"/>
        </w:rPr>
      </w:pPr>
    </w:p>
    <w:p w:rsidRPr="0022056B" w:rsidR="0067066E" w:rsidRDefault="0067066E" w14:paraId="55F112AA" w14:textId="77777777">
      <w:pPr>
        <w:spacing w:before="360" w:after="160"/>
        <w:rPr>
          <w:b/>
          <w:bCs/>
          <w:color w:val="1A3A5C"/>
          <w:sz w:val="32"/>
          <w:szCs w:val="32"/>
        </w:rPr>
      </w:pPr>
    </w:p>
    <w:p w:rsidRPr="0022056B" w:rsidR="0067066E" w:rsidRDefault="0067066E" w14:paraId="0D7CAB08" w14:textId="77777777">
      <w:pPr>
        <w:spacing w:before="360" w:after="160"/>
        <w:rPr>
          <w:b/>
          <w:bCs/>
          <w:color w:val="1A3A5C"/>
          <w:sz w:val="32"/>
          <w:szCs w:val="32"/>
        </w:rPr>
      </w:pPr>
    </w:p>
    <w:p w:rsidRPr="0022056B" w:rsidR="34228AF3" w:rsidP="34228AF3" w:rsidRDefault="34228AF3" w14:paraId="5DC11760" w14:textId="24BF4E05">
      <w:pPr>
        <w:spacing w:before="360" w:after="160"/>
        <w:rPr>
          <w:b/>
          <w:bCs/>
          <w:color w:val="1A3A5C"/>
          <w:sz w:val="32"/>
          <w:szCs w:val="32"/>
        </w:rPr>
      </w:pPr>
    </w:p>
    <w:p w:rsidRPr="0022056B" w:rsidR="34228AF3" w:rsidP="34228AF3" w:rsidRDefault="34228AF3" w14:paraId="0A32562B" w14:textId="17958E0F">
      <w:pPr>
        <w:spacing w:before="360" w:after="160"/>
        <w:rPr>
          <w:b/>
          <w:bCs/>
          <w:color w:val="1A3A5C"/>
          <w:sz w:val="32"/>
          <w:szCs w:val="32"/>
        </w:rPr>
      </w:pPr>
    </w:p>
    <w:p w:rsidRPr="0022056B" w:rsidR="00333EDE" w:rsidRDefault="00624242" w14:paraId="5652B957" w14:textId="1C65EE88">
      <w:pPr>
        <w:spacing w:before="360" w:after="160"/>
      </w:pPr>
      <w:r w:rsidRPr="0022056B">
        <w:rPr>
          <w:b/>
          <w:bCs/>
          <w:color w:val="1A3A5C"/>
          <w:sz w:val="32"/>
          <w:szCs w:val="32"/>
        </w:rPr>
        <w:t>4.2 Recommandations stratégiques</w:t>
      </w:r>
    </w:p>
    <w:p w:rsidRPr="0022056B" w:rsidR="00333EDE" w:rsidRDefault="00624242" w14:paraId="3E9D2EB3" w14:textId="77777777">
      <w:pPr>
        <w:spacing w:before="280" w:after="120"/>
      </w:pPr>
      <w:r w:rsidRPr="0022056B">
        <w:rPr>
          <w:b/>
          <w:bCs/>
          <w:color w:val="1A3A5C"/>
          <w:sz w:val="26"/>
          <w:szCs w:val="26"/>
        </w:rPr>
        <w:t>Pour les organisations clientes</w:t>
      </w:r>
    </w:p>
    <w:p w:rsidRPr="0022056B" w:rsidR="00333EDE" w:rsidRDefault="00624242" w14:paraId="2F1558AD" w14:textId="77777777">
      <w:pPr>
        <w:pStyle w:val="ListParagraph"/>
        <w:numPr>
          <w:ilvl w:val="0"/>
          <w:numId w:val="3"/>
        </w:numPr>
        <w:spacing w:before="60" w:after="60"/>
      </w:pPr>
      <w:r w:rsidRPr="0022056B">
        <w:rPr>
          <w:color w:val="1A1A1A"/>
        </w:rPr>
        <w:t>Exiger un code de déontologie écrit de tout cabinet mandaté</w:t>
      </w:r>
    </w:p>
    <w:p w:rsidRPr="0022056B" w:rsidR="00333EDE" w:rsidRDefault="00624242" w14:paraId="60F7C1E8" w14:textId="77777777">
      <w:pPr>
        <w:pStyle w:val="ListParagraph"/>
        <w:numPr>
          <w:ilvl w:val="0"/>
          <w:numId w:val="3"/>
        </w:numPr>
        <w:spacing w:before="60" w:after="60"/>
      </w:pPr>
      <w:r w:rsidRPr="0022056B">
        <w:rPr>
          <w:color w:val="1A1A1A"/>
        </w:rPr>
        <w:t>Inclure des clauses de confidentialité bilatérales dans les contrats de mandat</w:t>
      </w:r>
    </w:p>
    <w:p w:rsidRPr="0022056B" w:rsidR="00333EDE" w:rsidRDefault="00624242" w14:paraId="1BD6D20D" w14:textId="77777777">
      <w:pPr>
        <w:pStyle w:val="ListParagraph"/>
        <w:numPr>
          <w:ilvl w:val="0"/>
          <w:numId w:val="3"/>
        </w:numPr>
        <w:spacing w:before="60" w:after="60"/>
      </w:pPr>
      <w:r w:rsidRPr="0022056B">
        <w:rPr>
          <w:color w:val="1A1A1A"/>
        </w:rPr>
        <w:t>Demander un rapport structuré d’évaluation pour chaque candidat présenté</w:t>
      </w:r>
    </w:p>
    <w:p w:rsidRPr="0022056B" w:rsidR="00333EDE" w:rsidRDefault="00624242" w14:paraId="1B44FE5D" w14:textId="77777777">
      <w:pPr>
        <w:pStyle w:val="ListParagraph"/>
        <w:numPr>
          <w:ilvl w:val="0"/>
          <w:numId w:val="3"/>
        </w:numPr>
        <w:spacing w:before="60" w:after="60"/>
      </w:pPr>
      <w:r w:rsidRPr="0022056B">
        <w:rPr>
          <w:color w:val="1A1A1A"/>
        </w:rPr>
        <w:t>Planifier un accompagnement formel à l’intégration, en partenariat avec le cabinet</w:t>
      </w:r>
    </w:p>
    <w:p w:rsidRPr="0022056B" w:rsidR="00333EDE" w:rsidRDefault="00624242" w14:paraId="40DEEDC2" w14:textId="77777777">
      <w:pPr>
        <w:pStyle w:val="ListParagraph"/>
        <w:numPr>
          <w:ilvl w:val="0"/>
          <w:numId w:val="3"/>
        </w:numPr>
        <w:spacing w:before="60" w:after="60"/>
      </w:pPr>
      <w:r w:rsidRPr="0022056B">
        <w:rPr>
          <w:color w:val="1A1A1A"/>
        </w:rPr>
        <w:t>Évaluer annuellement la qualité éthique de vos partenaires de recrutement</w:t>
      </w:r>
    </w:p>
    <w:p w:rsidRPr="0022056B" w:rsidR="00333EDE" w:rsidRDefault="00333EDE" w14:paraId="4353F941" w14:textId="77777777">
      <w:pPr>
        <w:spacing w:before="80" w:after="80"/>
      </w:pPr>
    </w:p>
    <w:p w:rsidRPr="0022056B" w:rsidR="00333EDE" w:rsidRDefault="00624242" w14:paraId="078DFAEC" w14:textId="77777777">
      <w:pPr>
        <w:spacing w:before="280" w:after="120"/>
      </w:pPr>
      <w:r w:rsidRPr="0022056B">
        <w:rPr>
          <w:b/>
          <w:bCs/>
          <w:color w:val="1A3A5C"/>
          <w:sz w:val="26"/>
          <w:szCs w:val="26"/>
        </w:rPr>
        <w:t>Pour les candidats exécutifs</w:t>
      </w:r>
    </w:p>
    <w:p w:rsidRPr="0022056B" w:rsidR="00333EDE" w:rsidRDefault="00624242" w14:paraId="6CDFEE13" w14:textId="77777777">
      <w:pPr>
        <w:pStyle w:val="ListParagraph"/>
        <w:numPr>
          <w:ilvl w:val="0"/>
          <w:numId w:val="3"/>
        </w:numPr>
        <w:spacing w:before="60" w:after="60"/>
      </w:pPr>
      <w:r w:rsidRPr="0022056B">
        <w:rPr>
          <w:color w:val="1A1A1A"/>
        </w:rPr>
        <w:t>Demander explicitement comment vos informations seront protégées et utilisées</w:t>
      </w:r>
    </w:p>
    <w:p w:rsidRPr="0022056B" w:rsidR="00333EDE" w:rsidRDefault="00624242" w14:paraId="65BD2D89" w14:textId="77777777">
      <w:pPr>
        <w:pStyle w:val="ListParagraph"/>
        <w:numPr>
          <w:ilvl w:val="0"/>
          <w:numId w:val="3"/>
        </w:numPr>
        <w:spacing w:before="60" w:after="60"/>
      </w:pPr>
      <w:r w:rsidRPr="0022056B">
        <w:rPr>
          <w:color w:val="1A1A1A"/>
        </w:rPr>
        <w:t>Exiger une description complète et honnête du poste, incluant les défis</w:t>
      </w:r>
    </w:p>
    <w:p w:rsidRPr="0022056B" w:rsidR="00333EDE" w:rsidRDefault="00624242" w14:paraId="2588CA7F" w14:textId="77777777">
      <w:pPr>
        <w:pStyle w:val="ListParagraph"/>
        <w:numPr>
          <w:ilvl w:val="0"/>
          <w:numId w:val="3"/>
        </w:numPr>
        <w:spacing w:before="60" w:after="60"/>
      </w:pPr>
      <w:r w:rsidRPr="0022056B">
        <w:rPr>
          <w:color w:val="1A1A1A"/>
        </w:rPr>
        <w:t xml:space="preserve">Vérifier l’appartenance du cabinet à des associations professionnelles (AESC, IIC </w:t>
      </w:r>
      <w:proofErr w:type="spellStart"/>
      <w:r w:rsidRPr="0022056B">
        <w:rPr>
          <w:color w:val="1A1A1A"/>
        </w:rPr>
        <w:t>Partners</w:t>
      </w:r>
      <w:proofErr w:type="spellEnd"/>
      <w:r w:rsidRPr="0022056B">
        <w:rPr>
          <w:color w:val="1A1A1A"/>
        </w:rPr>
        <w:t>)</w:t>
      </w:r>
    </w:p>
    <w:p w:rsidRPr="0022056B" w:rsidR="00333EDE" w:rsidRDefault="00624242" w14:paraId="0BCD28EE" w14:textId="77777777">
      <w:pPr>
        <w:pStyle w:val="ListParagraph"/>
        <w:numPr>
          <w:ilvl w:val="0"/>
          <w:numId w:val="3"/>
        </w:numPr>
        <w:spacing w:before="60" w:after="60"/>
      </w:pPr>
      <w:r w:rsidRPr="0022056B">
        <w:rPr>
          <w:color w:val="1A1A1A"/>
        </w:rPr>
        <w:t>Demander à être informé si des outils d’IA sont utilisés dans le processus</w:t>
      </w:r>
    </w:p>
    <w:p w:rsidRPr="0022056B" w:rsidR="00333EDE" w:rsidRDefault="00333EDE" w14:paraId="58A7EE2D" w14:textId="77777777">
      <w:pPr>
        <w:spacing w:before="80" w:after="80"/>
      </w:pPr>
    </w:p>
    <w:p w:rsidRPr="0022056B" w:rsidR="00333EDE" w:rsidP="34228AF3" w:rsidRDefault="1510224C" w14:paraId="3D692BA2" w14:textId="26E18D55">
      <w:pPr>
        <w:spacing w:before="280" w:after="120" w:line="259" w:lineRule="auto"/>
      </w:pPr>
      <w:r w:rsidRPr="0022056B">
        <w:rPr>
          <w:b/>
          <w:bCs/>
          <w:color w:val="1A3A5C"/>
          <w:sz w:val="26"/>
          <w:szCs w:val="26"/>
        </w:rPr>
        <w:t xml:space="preserve">Pour les cabinets de </w:t>
      </w:r>
      <w:r w:rsidRPr="0022056B" w:rsidR="1F383FB8">
        <w:rPr>
          <w:b/>
          <w:bCs/>
          <w:color w:val="1A3A5C"/>
          <w:sz w:val="26"/>
          <w:szCs w:val="26"/>
        </w:rPr>
        <w:t>recherche</w:t>
      </w:r>
    </w:p>
    <w:p w:rsidRPr="0022056B" w:rsidR="00333EDE" w:rsidRDefault="00624242" w14:paraId="06BBC64A" w14:textId="77777777">
      <w:pPr>
        <w:pStyle w:val="ListParagraph"/>
        <w:numPr>
          <w:ilvl w:val="0"/>
          <w:numId w:val="3"/>
        </w:numPr>
        <w:spacing w:before="60" w:after="60"/>
      </w:pPr>
      <w:r w:rsidRPr="0022056B">
        <w:rPr>
          <w:color w:val="1A1A1A"/>
        </w:rPr>
        <w:t>Adopter et publier un code de déontologie formalisé</w:t>
      </w:r>
    </w:p>
    <w:p w:rsidRPr="0022056B" w:rsidR="00333EDE" w:rsidRDefault="00624242" w14:paraId="6CB2AF97" w14:textId="77777777">
      <w:pPr>
        <w:pStyle w:val="ListParagraph"/>
        <w:numPr>
          <w:ilvl w:val="0"/>
          <w:numId w:val="3"/>
        </w:numPr>
        <w:spacing w:before="60" w:after="60"/>
      </w:pPr>
      <w:r w:rsidRPr="0022056B">
        <w:rPr>
          <w:color w:val="1A1A1A"/>
        </w:rPr>
        <w:t>Mettre en place un processus d’audit annuel des pratiques éthiques</w:t>
      </w:r>
    </w:p>
    <w:p w:rsidRPr="0022056B" w:rsidR="00333EDE" w:rsidRDefault="00624242" w14:paraId="1E07223A" w14:textId="77777777">
      <w:pPr>
        <w:pStyle w:val="ListParagraph"/>
        <w:numPr>
          <w:ilvl w:val="0"/>
          <w:numId w:val="3"/>
        </w:numPr>
        <w:spacing w:before="60" w:after="60"/>
      </w:pPr>
      <w:r w:rsidRPr="0022056B">
        <w:rPr>
          <w:color w:val="1A1A1A"/>
        </w:rPr>
        <w:t>Former l’ensemble de l’équipe aux biais inconscients et à l’équité dans la sélection</w:t>
      </w:r>
    </w:p>
    <w:p w:rsidRPr="0022056B" w:rsidR="00333EDE" w:rsidRDefault="00624242" w14:paraId="12B8D3FB" w14:textId="77777777">
      <w:pPr>
        <w:pStyle w:val="ListParagraph"/>
        <w:numPr>
          <w:ilvl w:val="0"/>
          <w:numId w:val="3"/>
        </w:numPr>
        <w:spacing w:before="60" w:after="60"/>
      </w:pPr>
      <w:r w:rsidRPr="0022056B">
        <w:rPr>
          <w:color w:val="1A1A1A"/>
        </w:rPr>
        <w:t>Développer un protocole de suivi post-placement systématique</w:t>
      </w:r>
    </w:p>
    <w:p w:rsidRPr="0022056B" w:rsidR="00333EDE" w:rsidRDefault="00624242" w14:paraId="57A8ED8B" w14:textId="77777777">
      <w:pPr>
        <w:pStyle w:val="ListParagraph"/>
        <w:numPr>
          <w:ilvl w:val="0"/>
          <w:numId w:val="3"/>
        </w:numPr>
        <w:spacing w:before="60" w:after="60"/>
      </w:pPr>
      <w:r w:rsidRPr="0022056B">
        <w:rPr>
          <w:color w:val="1A1A1A"/>
        </w:rPr>
        <w:t>Documenter et divulguer l’utilisation de tout outil d’IA dans les processus de sélection</w:t>
      </w:r>
    </w:p>
    <w:p w:rsidRPr="0022056B" w:rsidR="00333EDE" w:rsidRDefault="00624242" w14:paraId="06ADD187" w14:textId="77777777">
      <w:r w:rsidRPr="0022056B">
        <w:br w:type="page"/>
      </w:r>
    </w:p>
    <w:p w:rsidRPr="0022056B" w:rsidR="00333EDE" w:rsidRDefault="00624242" w14:paraId="554BEE53" w14:textId="77777777">
      <w:pPr>
        <w:pBdr>
          <w:bottom w:val="single" w:color="E87722" w:sz="6" w:space="1"/>
        </w:pBdr>
      </w:pPr>
      <w:r w:rsidRPr="0022056B">
        <w:rPr>
          <w:b/>
          <w:bCs/>
          <w:color w:val="1A3A5C"/>
          <w:sz w:val="36"/>
          <w:szCs w:val="36"/>
        </w:rPr>
        <w:t>CONCLUSION</w:t>
      </w:r>
    </w:p>
    <w:p w:rsidRPr="0022056B" w:rsidR="00333EDE" w:rsidRDefault="00333EDE" w14:paraId="5D02CE87" w14:textId="77777777">
      <w:pPr>
        <w:spacing w:before="200" w:after="200"/>
      </w:pPr>
    </w:p>
    <w:p w:rsidRPr="0022056B" w:rsidR="00333EDE" w:rsidRDefault="00624242" w14:paraId="4FB9EBDB" w14:textId="0180D9F7">
      <w:pPr>
        <w:spacing w:before="80" w:after="100"/>
        <w:jc w:val="both"/>
      </w:pPr>
      <w:r w:rsidRPr="0022056B">
        <w:rPr>
          <w:color w:val="1A1A1A"/>
        </w:rPr>
        <w:t xml:space="preserve">L’éthique en recrutement exécutif n’est pas un enjeu philosophique abstrait. C’est un ensemble de pratiques concrètes, mesurables et différenciatrices qui </w:t>
      </w:r>
      <w:r w:rsidRPr="0022056B" w:rsidR="0067066E">
        <w:rPr>
          <w:color w:val="1A1A1A"/>
        </w:rPr>
        <w:t>entraînent</w:t>
      </w:r>
      <w:r w:rsidRPr="0022056B">
        <w:rPr>
          <w:color w:val="1A1A1A"/>
        </w:rPr>
        <w:t xml:space="preserve"> des conséquences directes sur la performance des organisations, la trajectoire des dirigeants et la crédibilité des cabinets.</w:t>
      </w:r>
    </w:p>
    <w:p w:rsidRPr="0022056B" w:rsidR="00333EDE" w:rsidRDefault="00624242" w14:paraId="2A9A1018" w14:textId="6C99EBA6">
      <w:pPr>
        <w:spacing w:before="80" w:after="100"/>
        <w:jc w:val="both"/>
      </w:pPr>
      <w:r w:rsidRPr="0022056B">
        <w:rPr>
          <w:color w:val="1A1A1A"/>
        </w:rPr>
        <w:t>Dans un marché qui se normalise après une période de tension extrême, les organisations peuvent enfin exercer un discernement plus exigeant dans le choix de leurs partenaires de recrutement. Et les candidats exécutifs qui ont souvent été en position de force ces dernières années doivent maintenant plus que jamais s’assurer que les processus dans lesquels ils s’engagent sont conduits avec intégrité.</w:t>
      </w:r>
    </w:p>
    <w:p w:rsidRPr="0022056B" w:rsidR="00333EDE" w:rsidRDefault="00624242" w14:paraId="736832E5" w14:textId="2F55A0F3">
      <w:pPr>
        <w:spacing w:before="80" w:after="100"/>
        <w:jc w:val="both"/>
        <w:rPr>
          <w:color w:val="1A1A1A"/>
        </w:rPr>
      </w:pPr>
      <w:r w:rsidRPr="0022056B">
        <w:rPr>
          <w:color w:val="1A1A1A"/>
        </w:rPr>
        <w:t xml:space="preserve">Les sept piliers décrits dans ce rapport </w:t>
      </w:r>
      <w:r w:rsidRPr="0022056B" w:rsidR="006C63D2">
        <w:rPr>
          <w:color w:val="1A1A1A"/>
        </w:rPr>
        <w:t>d’engagement de non-approche</w:t>
      </w:r>
      <w:r w:rsidRPr="0022056B">
        <w:rPr>
          <w:color w:val="1A1A1A"/>
        </w:rPr>
        <w:t>, confidentialité, transparence, véracité, intégrité des références, usage éthique de l’IA et engagement post-placement constituent un cadre de référence applicable. Il n’est pas exhaustif. Mais il permet à toute organisation, tout candidat et tout cabinet de se poser les bonnes questions.</w:t>
      </w:r>
    </w:p>
    <w:p w:rsidRPr="0022056B" w:rsidR="00333EDE" w:rsidRDefault="00333EDE" w14:paraId="7F7574A6" w14:textId="77777777">
      <w:pPr>
        <w:spacing w:before="80" w:after="80"/>
      </w:pPr>
    </w:p>
    <w:tbl>
      <w:tblPr>
        <w:tblW w:w="9360" w:type="dxa"/>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Pr="0022056B" w:rsidR="00333EDE" w14:paraId="69C8A5F5" w14:textId="77777777">
        <w:tc>
          <w:tcPr>
            <w:tcW w:w="9360" w:type="dxa"/>
            <w:tcBorders>
              <w:top w:val="none" w:color="FFFFFF" w:sz="0" w:space="0"/>
              <w:left w:val="none" w:color="FFFFFF" w:sz="0" w:space="0"/>
              <w:bottom w:val="none" w:color="FFFFFF" w:sz="0" w:space="0"/>
              <w:right w:val="none" w:color="FFFFFF" w:sz="0" w:space="0"/>
            </w:tcBorders>
            <w:shd w:val="clear" w:color="auto" w:fill="1A3A5C"/>
            <w:tcMar>
              <w:top w:w="240" w:type="dxa"/>
              <w:left w:w="360" w:type="dxa"/>
              <w:bottom w:w="240" w:type="dxa"/>
              <w:right w:w="360" w:type="dxa"/>
            </w:tcMar>
          </w:tcPr>
          <w:p w:rsidRPr="0022056B" w:rsidR="00333EDE" w:rsidRDefault="00624242" w14:paraId="5808EF14" w14:textId="77777777">
            <w:pPr>
              <w:jc w:val="center"/>
            </w:pPr>
            <w:r w:rsidRPr="0022056B">
              <w:rPr>
                <w:b/>
                <w:bCs/>
                <w:color w:val="FFFFFF"/>
                <w:sz w:val="26"/>
                <w:szCs w:val="26"/>
              </w:rPr>
              <w:t>L’éthique n’est pas ce qu’on dit de soi. C’est ce qu’on fait quand personne ne regarde.</w:t>
            </w:r>
          </w:p>
        </w:tc>
      </w:tr>
    </w:tbl>
    <w:p w:rsidRPr="0022056B" w:rsidR="00333EDE" w:rsidRDefault="00333EDE" w14:paraId="5193A416" w14:textId="77777777">
      <w:pPr>
        <w:spacing w:before="160" w:after="160"/>
      </w:pPr>
    </w:p>
    <w:p w:rsidRPr="0022056B" w:rsidR="00333EDE" w:rsidP="315D70C2" w:rsidRDefault="00624242" w14:paraId="280AB20A" w14:textId="619090A7">
      <w:pPr>
        <w:spacing w:before="80" w:after="100"/>
        <w:jc w:val="both"/>
        <w:rPr>
          <w:color w:val="1A1A1A"/>
        </w:rPr>
      </w:pPr>
      <w:r w:rsidRPr="0022056B">
        <w:rPr>
          <w:color w:val="1A1A1A"/>
        </w:rPr>
        <w:t>CRC Conseils a fondé son approche sur ces principes depuis sa création. Nos engagements éthiques ne sont pas un argument de vente ils sont la condition préalable de toute relation de confiance durable avec nos clients et nos candidats.</w:t>
      </w:r>
      <w:commentRangeStart w:id="14"/>
      <w:commentRangeEnd w:id="14"/>
      <w:r w:rsidRPr="0022056B">
        <w:rPr>
          <w:rStyle w:val="CommentReference"/>
          <w:color w:val="1A1A1A"/>
          <w:sz w:val="22"/>
          <w:szCs w:val="22"/>
        </w:rPr>
        <w:commentReference w:id="14"/>
      </w:r>
    </w:p>
    <w:p w:rsidRPr="0022056B" w:rsidR="00333EDE" w:rsidRDefault="00624242" w14:paraId="3D5CFF80" w14:textId="77777777">
      <w:r w:rsidRPr="0022056B">
        <w:br w:type="page"/>
      </w:r>
    </w:p>
    <w:p w:rsidRPr="0022056B" w:rsidR="00333EDE" w:rsidRDefault="00624242" w14:paraId="33C2B17C" w14:textId="77777777">
      <w:pPr>
        <w:pBdr>
          <w:bottom w:val="single" w:color="E87722" w:sz="6" w:space="1"/>
        </w:pBdr>
      </w:pPr>
      <w:r w:rsidRPr="0022056B">
        <w:rPr>
          <w:b/>
          <w:bCs/>
          <w:color w:val="1A3A5C"/>
          <w:sz w:val="36"/>
          <w:szCs w:val="36"/>
        </w:rPr>
        <w:t>Sources et références</w:t>
      </w:r>
    </w:p>
    <w:p w:rsidRPr="0022056B" w:rsidR="00333EDE" w:rsidRDefault="00333EDE" w14:paraId="4F1FAFAC" w14:textId="77777777">
      <w:pPr>
        <w:spacing w:before="200" w:after="200"/>
      </w:pPr>
    </w:p>
    <w:p w:rsidRPr="0022056B" w:rsidR="00333EDE" w:rsidRDefault="00624242" w14:paraId="0DA33A38" w14:textId="77777777">
      <w:pPr>
        <w:spacing w:before="360" w:after="160"/>
      </w:pPr>
      <w:r w:rsidRPr="0022056B">
        <w:rPr>
          <w:b/>
          <w:bCs/>
          <w:color w:val="1A3A5C"/>
          <w:sz w:val="32"/>
          <w:szCs w:val="32"/>
        </w:rPr>
        <w:t>Associations professionnelles</w:t>
      </w:r>
    </w:p>
    <w:p w:rsidRPr="00F53F36" w:rsidR="00333EDE" w:rsidRDefault="00624242" w14:paraId="49FD3CED" w14:textId="020A33CF">
      <w:pPr>
        <w:pStyle w:val="ListParagraph"/>
        <w:numPr>
          <w:ilvl w:val="0"/>
          <w:numId w:val="3"/>
        </w:numPr>
        <w:spacing w:before="60" w:after="60"/>
        <w:rPr>
          <w:lang w:val="en-CA"/>
        </w:rPr>
      </w:pPr>
      <w:r w:rsidRPr="00F53F36">
        <w:rPr>
          <w:color w:val="1A1A1A"/>
          <w:lang w:val="en-CA"/>
        </w:rPr>
        <w:t>AESC (Association of Executive Search and Leadership Consultants) Code of Ethics &amp; Professional Practice Guidelines, 2024</w:t>
      </w:r>
    </w:p>
    <w:p w:rsidRPr="0022056B" w:rsidR="00333EDE" w:rsidRDefault="00624242" w14:paraId="13172DFC" w14:textId="5C723735">
      <w:pPr>
        <w:pStyle w:val="ListParagraph"/>
        <w:numPr>
          <w:ilvl w:val="0"/>
          <w:numId w:val="3"/>
        </w:numPr>
        <w:spacing w:before="60" w:after="60"/>
      </w:pPr>
      <w:r w:rsidRPr="0022056B">
        <w:rPr>
          <w:color w:val="1A1A1A"/>
        </w:rPr>
        <w:t>Ordre des conseillers en ressources humaines agréés (CRHA) Normes professionnelles en dotation, 2023</w:t>
      </w:r>
    </w:p>
    <w:p w:rsidRPr="00F53F36" w:rsidR="00333EDE" w:rsidRDefault="00624242" w14:paraId="7B4BE6DF" w14:textId="24BCD023">
      <w:pPr>
        <w:pStyle w:val="ListParagraph"/>
        <w:numPr>
          <w:ilvl w:val="0"/>
          <w:numId w:val="3"/>
        </w:numPr>
        <w:spacing w:before="60" w:after="60"/>
        <w:rPr>
          <w:lang w:val="en-CA"/>
        </w:rPr>
      </w:pPr>
      <w:r w:rsidRPr="00F53F36">
        <w:rPr>
          <w:color w:val="1A1A1A"/>
          <w:lang w:val="en-CA"/>
        </w:rPr>
        <w:t>IIC Partners Global Standards for Executive Search Firms</w:t>
      </w:r>
    </w:p>
    <w:p w:rsidRPr="00F53F36" w:rsidR="00333EDE" w:rsidRDefault="00333EDE" w14:paraId="29E50069" w14:textId="77777777">
      <w:pPr>
        <w:spacing w:before="80" w:after="80"/>
        <w:rPr>
          <w:lang w:val="en-CA"/>
        </w:rPr>
      </w:pPr>
    </w:p>
    <w:p w:rsidRPr="0022056B" w:rsidR="00333EDE" w:rsidRDefault="00624242" w14:paraId="514D7850" w14:textId="77777777">
      <w:pPr>
        <w:spacing w:before="360" w:after="160"/>
      </w:pPr>
      <w:r w:rsidRPr="0022056B">
        <w:rPr>
          <w:b/>
          <w:bCs/>
          <w:color w:val="1A3A5C"/>
          <w:sz w:val="32"/>
          <w:szCs w:val="32"/>
        </w:rPr>
        <w:t>Études et rapports</w:t>
      </w:r>
    </w:p>
    <w:p w:rsidRPr="00F53F36" w:rsidR="00333EDE" w:rsidRDefault="00624242" w14:paraId="240D696F" w14:textId="7A899E10">
      <w:pPr>
        <w:pStyle w:val="ListParagraph"/>
        <w:numPr>
          <w:ilvl w:val="0"/>
          <w:numId w:val="3"/>
        </w:numPr>
        <w:spacing w:before="60" w:after="60"/>
        <w:rPr>
          <w:lang w:val="en-CA"/>
        </w:rPr>
      </w:pPr>
      <w:r w:rsidRPr="00F53F36">
        <w:rPr>
          <w:color w:val="1A1A1A"/>
          <w:lang w:val="en-CA"/>
        </w:rPr>
        <w:t>Deloitte Global Human Capital Trends 2024-2025</w:t>
      </w:r>
    </w:p>
    <w:p w:rsidRPr="00F53F36" w:rsidR="00333EDE" w:rsidRDefault="00624242" w14:paraId="31928F08" w14:textId="0C81B35E">
      <w:pPr>
        <w:pStyle w:val="ListParagraph"/>
        <w:numPr>
          <w:ilvl w:val="0"/>
          <w:numId w:val="3"/>
        </w:numPr>
        <w:spacing w:before="60" w:after="60"/>
        <w:rPr>
          <w:lang w:val="en-CA"/>
        </w:rPr>
      </w:pPr>
      <w:r w:rsidRPr="00F53F36">
        <w:rPr>
          <w:color w:val="1A1A1A"/>
          <w:lang w:val="en-CA"/>
        </w:rPr>
        <w:t>SHRM (Society for Human Resource Management) The True Cost of a Bad Hire, 2022</w:t>
      </w:r>
    </w:p>
    <w:p w:rsidRPr="00F53F36" w:rsidR="00333EDE" w:rsidRDefault="00624242" w14:paraId="5E85F93A" w14:textId="66CAD1D2">
      <w:pPr>
        <w:pStyle w:val="ListParagraph"/>
        <w:numPr>
          <w:ilvl w:val="0"/>
          <w:numId w:val="3"/>
        </w:numPr>
        <w:spacing w:before="60" w:after="60"/>
        <w:rPr>
          <w:lang w:val="en-CA"/>
        </w:rPr>
      </w:pPr>
      <w:r w:rsidRPr="00F53F36">
        <w:rPr>
          <w:color w:val="1A1A1A"/>
          <w:lang w:val="en-CA"/>
        </w:rPr>
        <w:t>LinkedIn Global Talent Trends Report, 2024</w:t>
      </w:r>
    </w:p>
    <w:p w:rsidRPr="00F53F36" w:rsidR="00333EDE" w:rsidRDefault="00624242" w14:paraId="54B6FF4F" w14:textId="0DE059BB">
      <w:pPr>
        <w:pStyle w:val="ListParagraph"/>
        <w:numPr>
          <w:ilvl w:val="0"/>
          <w:numId w:val="3"/>
        </w:numPr>
        <w:spacing w:before="60" w:after="60"/>
        <w:rPr>
          <w:lang w:val="en-CA"/>
        </w:rPr>
      </w:pPr>
      <w:r w:rsidRPr="00F53F36">
        <w:rPr>
          <w:color w:val="1A1A1A"/>
          <w:lang w:val="en-CA"/>
        </w:rPr>
        <w:t>Harvard Business Review Why New Leaders Fail (Watkins, M.)</w:t>
      </w:r>
    </w:p>
    <w:p w:rsidRPr="00F53F36" w:rsidR="00333EDE" w:rsidRDefault="00624242" w14:paraId="0B6D605B" w14:textId="72DF18BF">
      <w:pPr>
        <w:pStyle w:val="ListParagraph"/>
        <w:numPr>
          <w:ilvl w:val="0"/>
          <w:numId w:val="3"/>
        </w:numPr>
        <w:spacing w:before="60" w:after="60"/>
        <w:rPr>
          <w:lang w:val="en-CA"/>
        </w:rPr>
      </w:pPr>
      <w:r w:rsidRPr="00F53F36">
        <w:rPr>
          <w:color w:val="1A1A1A"/>
          <w:lang w:val="en-CA"/>
        </w:rPr>
        <w:t>Boston Consulting Group Decoding Global Talent, 2023</w:t>
      </w:r>
    </w:p>
    <w:p w:rsidRPr="00F53F36" w:rsidR="00333EDE" w:rsidRDefault="00624242" w14:paraId="7E1630B0" w14:textId="73C551F7">
      <w:pPr>
        <w:pStyle w:val="ListParagraph"/>
        <w:numPr>
          <w:ilvl w:val="0"/>
          <w:numId w:val="3"/>
        </w:numPr>
        <w:spacing w:before="60" w:after="60"/>
        <w:rPr>
          <w:lang w:val="en-CA"/>
        </w:rPr>
      </w:pPr>
      <w:r w:rsidRPr="00F53F36">
        <w:rPr>
          <w:color w:val="1A1A1A"/>
          <w:lang w:val="en-CA"/>
        </w:rPr>
        <w:t xml:space="preserve">Egon Zehnder Global Leadership </w:t>
      </w:r>
      <w:proofErr w:type="gramStart"/>
      <w:r w:rsidRPr="00F53F36">
        <w:rPr>
          <w:color w:val="1A1A1A"/>
          <w:lang w:val="en-CA"/>
        </w:rPr>
        <w:t>Report :</w:t>
      </w:r>
      <w:proofErr w:type="gramEnd"/>
      <w:r w:rsidRPr="00F53F36">
        <w:rPr>
          <w:color w:val="1A1A1A"/>
          <w:lang w:val="en-CA"/>
        </w:rPr>
        <w:t xml:space="preserve"> Executive Onboarding, 2023</w:t>
      </w:r>
    </w:p>
    <w:p w:rsidRPr="0022056B" w:rsidR="00333EDE" w:rsidRDefault="00624242" w14:paraId="3456C188" w14:textId="73E67739">
      <w:pPr>
        <w:pStyle w:val="ListParagraph"/>
        <w:numPr>
          <w:ilvl w:val="0"/>
          <w:numId w:val="3"/>
        </w:numPr>
        <w:spacing w:before="60" w:after="60"/>
      </w:pPr>
      <w:r w:rsidRPr="0022056B">
        <w:rPr>
          <w:color w:val="1A1A1A"/>
        </w:rPr>
        <w:t xml:space="preserve">MIT Media </w:t>
      </w:r>
      <w:proofErr w:type="spellStart"/>
      <w:r w:rsidRPr="0022056B">
        <w:rPr>
          <w:color w:val="1A1A1A"/>
        </w:rPr>
        <w:t>Lab</w:t>
      </w:r>
      <w:proofErr w:type="spellEnd"/>
      <w:r w:rsidRPr="0022056B">
        <w:rPr>
          <w:color w:val="1A1A1A"/>
        </w:rPr>
        <w:t xml:space="preserve"> Gender </w:t>
      </w:r>
      <w:proofErr w:type="spellStart"/>
      <w:r w:rsidRPr="0022056B">
        <w:rPr>
          <w:color w:val="1A1A1A"/>
        </w:rPr>
        <w:t>Shades</w:t>
      </w:r>
      <w:proofErr w:type="spellEnd"/>
      <w:r w:rsidRPr="0022056B">
        <w:rPr>
          <w:color w:val="1A1A1A"/>
        </w:rPr>
        <w:t xml:space="preserve"> : </w:t>
      </w:r>
      <w:proofErr w:type="spellStart"/>
      <w:r w:rsidRPr="0022056B">
        <w:rPr>
          <w:color w:val="1A1A1A"/>
        </w:rPr>
        <w:t>Intersectional</w:t>
      </w:r>
      <w:proofErr w:type="spellEnd"/>
      <w:r w:rsidRPr="0022056B">
        <w:rPr>
          <w:color w:val="1A1A1A"/>
        </w:rPr>
        <w:t xml:space="preserve"> </w:t>
      </w:r>
      <w:proofErr w:type="spellStart"/>
      <w:r w:rsidRPr="0022056B">
        <w:rPr>
          <w:color w:val="1A1A1A"/>
        </w:rPr>
        <w:t>Accuracy</w:t>
      </w:r>
      <w:proofErr w:type="spellEnd"/>
      <w:r w:rsidRPr="0022056B">
        <w:rPr>
          <w:color w:val="1A1A1A"/>
        </w:rPr>
        <w:t xml:space="preserve"> </w:t>
      </w:r>
      <w:proofErr w:type="spellStart"/>
      <w:r w:rsidRPr="0022056B">
        <w:rPr>
          <w:color w:val="1A1A1A"/>
        </w:rPr>
        <w:t>Disparities</w:t>
      </w:r>
      <w:proofErr w:type="spellEnd"/>
      <w:r w:rsidRPr="0022056B">
        <w:rPr>
          <w:color w:val="1A1A1A"/>
        </w:rPr>
        <w:t xml:space="preserve"> in Commercial Gender Classification (Buolamwini, J.), 2023</w:t>
      </w:r>
    </w:p>
    <w:p w:rsidRPr="0022056B" w:rsidR="00333EDE" w:rsidRDefault="00333EDE" w14:paraId="7F4B3FF7" w14:textId="77777777">
      <w:pPr>
        <w:spacing w:before="80" w:after="80"/>
      </w:pPr>
    </w:p>
    <w:p w:rsidRPr="0022056B" w:rsidR="00333EDE" w:rsidRDefault="00624242" w14:paraId="04E1E477" w14:textId="77777777">
      <w:pPr>
        <w:spacing w:before="360" w:after="160"/>
      </w:pPr>
      <w:r w:rsidRPr="0022056B">
        <w:rPr>
          <w:b/>
          <w:bCs/>
          <w:color w:val="1A3A5C"/>
          <w:sz w:val="32"/>
          <w:szCs w:val="32"/>
        </w:rPr>
        <w:t>Cadre réglementaire québécois</w:t>
      </w:r>
    </w:p>
    <w:p w:rsidRPr="0022056B" w:rsidR="00333EDE" w:rsidRDefault="00624242" w14:paraId="690654E9" w14:textId="77777777">
      <w:pPr>
        <w:pStyle w:val="ListParagraph"/>
        <w:numPr>
          <w:ilvl w:val="0"/>
          <w:numId w:val="3"/>
        </w:numPr>
        <w:spacing w:before="60" w:after="60"/>
      </w:pPr>
      <w:r w:rsidRPr="0022056B">
        <w:rPr>
          <w:color w:val="1A1A1A"/>
        </w:rPr>
        <w:t>Loi modernisant des dispositions législatives en matière de protection des renseignements personnels (Loi 25), Gouvernement du Québec</w:t>
      </w:r>
    </w:p>
    <w:p w:rsidRPr="0022056B" w:rsidR="00333EDE" w:rsidRDefault="00624242" w14:paraId="32F46AE0" w14:textId="13924A4A">
      <w:pPr>
        <w:pStyle w:val="ListParagraph"/>
        <w:numPr>
          <w:ilvl w:val="0"/>
          <w:numId w:val="3"/>
        </w:numPr>
        <w:spacing w:before="60" w:after="60"/>
      </w:pPr>
      <w:r w:rsidRPr="0022056B">
        <w:rPr>
          <w:color w:val="1A1A1A"/>
        </w:rPr>
        <w:t>Charte des droits et libertés de la personne</w:t>
      </w:r>
      <w:r w:rsidRPr="0022056B" w:rsidR="006C63D2">
        <w:rPr>
          <w:color w:val="1A1A1A"/>
        </w:rPr>
        <w:t>,</w:t>
      </w:r>
      <w:r w:rsidRPr="0022056B">
        <w:rPr>
          <w:color w:val="1A1A1A"/>
        </w:rPr>
        <w:t xml:space="preserve"> dispositions sur la discrimination en emploi</w:t>
      </w:r>
    </w:p>
    <w:p w:rsidRPr="0022056B" w:rsidR="00333EDE" w:rsidRDefault="00624242" w14:paraId="65B4F35B" w14:textId="6E38C322">
      <w:pPr>
        <w:pStyle w:val="ListParagraph"/>
        <w:numPr>
          <w:ilvl w:val="0"/>
          <w:numId w:val="3"/>
        </w:numPr>
        <w:spacing w:before="60" w:after="60"/>
      </w:pPr>
      <w:r w:rsidRPr="0022056B">
        <w:rPr>
          <w:color w:val="1A1A1A"/>
        </w:rPr>
        <w:t>Commission d’accès à l’information du Québec Guide sur la collecte de renseignements en contexte de recrutement</w:t>
      </w:r>
    </w:p>
    <w:p w:rsidRPr="0022056B" w:rsidR="00333EDE" w:rsidRDefault="00624242" w14:paraId="69E8DE0C" w14:textId="77777777">
      <w:pPr>
        <w:pStyle w:val="ListParagraph"/>
        <w:numPr>
          <w:ilvl w:val="0"/>
          <w:numId w:val="3"/>
        </w:numPr>
        <w:spacing w:before="60" w:after="60"/>
      </w:pPr>
      <w:r w:rsidRPr="0022056B">
        <w:rPr>
          <w:color w:val="1A1A1A"/>
        </w:rPr>
        <w:t>Loi sur la protection des renseignements personnels et les documents électroniques (LPRPDE), Gouvernement du Canada</w:t>
      </w:r>
    </w:p>
    <w:p w:rsidRPr="0022056B" w:rsidR="00333EDE" w:rsidRDefault="00333EDE" w14:paraId="259B5318" w14:textId="77777777">
      <w:pPr>
        <w:spacing w:before="200" w:after="200"/>
      </w:pPr>
    </w:p>
    <w:p w:rsidRPr="0022056B" w:rsidR="00333EDE" w:rsidRDefault="00624242" w14:paraId="52CF864D" w14:textId="77777777">
      <w:pPr>
        <w:spacing w:after="60"/>
        <w:jc w:val="center"/>
      </w:pPr>
      <w:r w:rsidRPr="0022056B">
        <w:rPr>
          <w:color w:val="555555"/>
          <w:sz w:val="18"/>
          <w:szCs w:val="18"/>
        </w:rPr>
        <w:t>2026, TOUS DROITS RÉSERVÉS, CRC CONSEILS</w:t>
      </w:r>
    </w:p>
    <w:p w:rsidRPr="0022056B" w:rsidR="00333EDE" w:rsidRDefault="00624242" w14:paraId="7E6015DB" w14:textId="77777777">
      <w:pPr>
        <w:spacing w:after="60"/>
        <w:jc w:val="center"/>
      </w:pPr>
      <w:r w:rsidRPr="0022056B">
        <w:rPr>
          <w:b/>
          <w:bCs/>
          <w:i/>
          <w:iCs/>
          <w:color w:val="1A3A5C"/>
          <w:sz w:val="20"/>
          <w:szCs w:val="20"/>
        </w:rPr>
        <w:t>Révéler le talent, transformer l’organisation</w:t>
      </w:r>
    </w:p>
    <w:p w:rsidR="00333EDE" w:rsidRDefault="00624242" w14:paraId="47336340" w14:textId="77777777">
      <w:pPr>
        <w:jc w:val="center"/>
      </w:pPr>
      <w:r w:rsidRPr="0022056B">
        <w:rPr>
          <w:color w:val="555555"/>
          <w:sz w:val="18"/>
          <w:szCs w:val="18"/>
        </w:rPr>
        <w:t>514 433-</w:t>
      </w:r>
      <w:proofErr w:type="gramStart"/>
      <w:r w:rsidRPr="0022056B">
        <w:rPr>
          <w:color w:val="555555"/>
          <w:sz w:val="18"/>
          <w:szCs w:val="18"/>
        </w:rPr>
        <w:t>6395  |</w:t>
      </w:r>
      <w:proofErr w:type="gramEnd"/>
      <w:r w:rsidRPr="0022056B">
        <w:rPr>
          <w:color w:val="555555"/>
          <w:sz w:val="18"/>
          <w:szCs w:val="18"/>
        </w:rPr>
        <w:t xml:space="preserve">  </w:t>
      </w:r>
      <w:proofErr w:type="gramStart"/>
      <w:r w:rsidRPr="0022056B">
        <w:rPr>
          <w:color w:val="555555"/>
          <w:sz w:val="18"/>
          <w:szCs w:val="18"/>
        </w:rPr>
        <w:t>info@crc-conseils.com  |</w:t>
      </w:r>
      <w:proofErr w:type="gramEnd"/>
      <w:r w:rsidRPr="0022056B">
        <w:rPr>
          <w:color w:val="555555"/>
          <w:sz w:val="18"/>
          <w:szCs w:val="18"/>
        </w:rPr>
        <w:t xml:space="preserve">  crc-conseils.com</w:t>
      </w:r>
    </w:p>
    <w:sectPr w:rsidR="00333EDE">
      <w:headerReference w:type="default" r:id="rId21"/>
      <w:footerReference w:type="default" r:id="rId22"/>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R" w:author="Claudiane Reny" w:date="2026-02-25T09:14:00Z" w:id="0">
    <w:p w:rsidR="00200727" w:rsidRDefault="00200727" w14:paraId="1C21ADC6" w14:textId="786C879E">
      <w:pPr>
        <w:pStyle w:val="CommentText"/>
      </w:pPr>
      <w:r>
        <w:rPr>
          <w:rStyle w:val="CommentReference"/>
        </w:rPr>
        <w:annotationRef/>
      </w:r>
      <w:r w:rsidRPr="50A8FA7C">
        <w:t>j'avais déjà donné ce commentaie, il faudrait une séparation entre les 2 titres. Ou 2 polices différentes</w:t>
      </w:r>
    </w:p>
  </w:comment>
  <w:comment w:initials="CR" w:author="Charles Reny" w:date="2026-02-21T16:18:00Z" w:id="1">
    <w:p w:rsidRPr="0022056B" w:rsidR="00624242" w:rsidRDefault="00624242" w14:paraId="563B5AFC" w14:textId="5900BF87">
      <w:r w:rsidRPr="0022056B">
        <w:annotationRef/>
      </w:r>
      <w:r w:rsidRPr="0022056B">
        <w:t>Majeur !</w:t>
      </w:r>
    </w:p>
  </w:comment>
  <w:comment w:initials="CR" w:author="Charles Reny" w:date="2026-02-21T16:20:00Z" w:id="2">
    <w:p w:rsidRPr="0022056B" w:rsidR="00624242" w:rsidRDefault="00624242" w14:paraId="64CA4CFE" w14:textId="47E673E7">
      <w:r w:rsidRPr="0022056B">
        <w:annotationRef/>
      </w:r>
      <w:r w:rsidRPr="0022056B">
        <w:t xml:space="preserve">WOUIN. </w:t>
      </w:r>
      <w:r w:rsidRPr="0022056B">
        <w:fldChar w:fldCharType="begin"/>
      </w:r>
      <w:r w:rsidRPr="0022056B">
        <w:instrText xml:space="preserve"> HYPERLINK "mailto:sbelanger@crc-conseils.com"</w:instrText>
      </w:r>
      <w:bookmarkStart w:name="_@_72AD79FD6FBA42798DBBAA2052454EA4Z" w:id="4"/>
      <w:r w:rsidRPr="0022056B">
        <w:fldChar w:fldCharType="separate"/>
      </w:r>
      <w:bookmarkEnd w:id="4"/>
      <w:r w:rsidRPr="0022056B">
        <w:t>@Sylvain Bélanger</w:t>
      </w:r>
      <w:r w:rsidRPr="0022056B">
        <w:fldChar w:fldCharType="end"/>
      </w:r>
      <w:r w:rsidRPr="0022056B">
        <w:t xml:space="preserve"> tu ycrois vraiment toi ? </w:t>
      </w:r>
    </w:p>
  </w:comment>
  <w:comment w:initials="SB" w:author="Sylvain Bélanger" w:date="2026-02-23T09:17:00Z" w:id="3">
    <w:p w:rsidRPr="0022056B" w:rsidR="005B65C9" w:rsidRDefault="005B65C9" w14:paraId="384D9BEC" w14:textId="125A99FF">
      <w:pPr>
        <w:pStyle w:val="CommentText"/>
      </w:pPr>
      <w:r w:rsidRPr="0022056B">
        <w:rPr>
          <w:rStyle w:val="CommentReference"/>
        </w:rPr>
        <w:annotationRef/>
      </w:r>
      <w:r w:rsidRPr="0022056B">
        <w:t>Probablement qu'on ira jamais jusque là mais ca donne de la profondeur à la réflexion dans le document.</w:t>
      </w:r>
    </w:p>
    <w:p w:rsidRPr="0022056B" w:rsidR="005B65C9" w:rsidRDefault="005B65C9" w14:paraId="2C951CA2" w14:textId="43E9F3E3">
      <w:pPr>
        <w:pStyle w:val="CommentText"/>
      </w:pPr>
      <w:r w:rsidRPr="0022056B">
        <w:t>Ca ne nous engage pas à aller jusque là non plus.</w:t>
      </w:r>
    </w:p>
    <w:p w:rsidRPr="0022056B" w:rsidR="005B65C9" w:rsidRDefault="005B65C9" w14:paraId="5CFFCA61" w14:textId="33BA8C91">
      <w:pPr>
        <w:pStyle w:val="CommentText"/>
      </w:pPr>
    </w:p>
  </w:comment>
  <w:comment w:initials="CR" w:author="Charles Reny" w:date="2026-02-21T16:23:00Z" w:id="5">
    <w:p w:rsidRPr="0022056B" w:rsidR="00624242" w:rsidRDefault="00624242" w14:paraId="01E2FD82" w14:textId="55418F6B">
      <w:r w:rsidRPr="0022056B">
        <w:annotationRef/>
      </w:r>
      <w:r w:rsidRPr="0022056B">
        <w:t>Belles discussions en persopepectives ! Est-ce que nous voulons développer ce volet ? Approffondir notre offre de références ? Cela pourrait être un .éléments supplémentaires pour vendre nos services aux clients: Références : Standard , références PLUS, Références Platine ?  Détailler ce que cela inclut pour chaque programme pourrait nous permmettre d'ajouter plus de profondeur à notre offre ! J'Aime !</w:t>
      </w:r>
    </w:p>
  </w:comment>
  <w:comment w:initials="SB" w:author="Sylvain Bélanger" w:date="2026-02-23T09:19:00Z" w:id="6">
    <w:p w:rsidRPr="0022056B" w:rsidR="005B65C9" w:rsidRDefault="005B65C9" w14:paraId="52761D07" w14:textId="43245E5C">
      <w:pPr>
        <w:pStyle w:val="CommentText"/>
      </w:pPr>
      <w:r w:rsidRPr="0022056B">
        <w:rPr>
          <w:rStyle w:val="CommentReference"/>
        </w:rPr>
        <w:annotationRef/>
      </w:r>
      <w:r w:rsidRPr="0022056B">
        <w:t>Personnellement je n'irais pas jusque là: À trop éplucher, ca augmente le risque de trouver des bobos mineurs qui vont inquiéter le client inutilement.</w:t>
      </w:r>
    </w:p>
    <w:p w:rsidRPr="0022056B" w:rsidR="005B65C9" w:rsidRDefault="005B65C9" w14:paraId="6D32CB6E" w14:textId="67D87AEC">
      <w:pPr>
        <w:pStyle w:val="CommentText"/>
      </w:pPr>
      <w:r w:rsidRPr="0022056B">
        <w:t>Je n'irais pas plus loin que notre approche habituelle.</w:t>
      </w:r>
    </w:p>
  </w:comment>
  <w:comment w:initials="CR" w:author="Charles Reny" w:date="2026-02-21T16:25:00Z" w:id="7">
    <w:p w:rsidRPr="0022056B" w:rsidR="00624242" w:rsidRDefault="00624242" w14:paraId="682D66AE" w14:textId="20C21EA2">
      <w:r w:rsidRPr="0022056B">
        <w:annotationRef/>
      </w:r>
      <w:r w:rsidRPr="0022056B">
        <w:t>Serait-ce intérésséssant d'ajouter la position de CRC sur ce point ? Chez CRC CONSEILS nous...</w:t>
      </w:r>
    </w:p>
  </w:comment>
  <w:comment w:initials="SB" w:author="Sylvain Bélanger" w:date="2026-02-23T09:20:00Z" w:id="8">
    <w:p w:rsidRPr="0022056B" w:rsidR="005B65C9" w:rsidRDefault="005B65C9" w14:paraId="4C7A8486" w14:textId="2BD1CA88">
      <w:pPr>
        <w:pStyle w:val="CommentText"/>
      </w:pPr>
      <w:r w:rsidRPr="0022056B">
        <w:rPr>
          <w:rStyle w:val="CommentReference"/>
        </w:rPr>
        <w:annotationRef/>
      </w:r>
      <w:r w:rsidRPr="0022056B">
        <w:t>Auto éloge?</w:t>
      </w:r>
    </w:p>
  </w:comment>
  <w:comment w:initials="CR" w:author="Charles Reny" w:date="2026-02-21T16:27:00Z" w:id="9">
    <w:p w:rsidRPr="0022056B" w:rsidR="00624242" w:rsidRDefault="00624242" w14:paraId="7B0D38A0" w14:textId="0D0C4DE5">
      <w:r w:rsidRPr="0022056B">
        <w:annotationRef/>
      </w:r>
      <w:r w:rsidRPr="0022056B">
        <w:t>Ca pourrait êter une ocassion de pousser notre garantie ? Chez CRC CONSEILS, offre des garabnties qui peuvent allez jusqu'`m 18 mois suivant l'embauche.</w:t>
      </w:r>
    </w:p>
  </w:comment>
  <w:comment w:initials="SB" w:author="Sylvain Bélanger" w:date="2026-02-23T09:22:00Z" w:id="10">
    <w:p w:rsidRPr="0022056B" w:rsidR="005B65C9" w:rsidRDefault="005B65C9" w14:paraId="7A1350B2" w14:textId="27C92271">
      <w:pPr>
        <w:pStyle w:val="CommentText"/>
      </w:pPr>
      <w:r w:rsidRPr="0022056B">
        <w:rPr>
          <w:rStyle w:val="CommentReference"/>
        </w:rPr>
        <w:annotationRef/>
      </w:r>
      <w:r w:rsidRPr="0022056B">
        <w:t>Je préfère de mentionner au minimum CRC pour rester neutre.</w:t>
      </w:r>
    </w:p>
    <w:p w:rsidRPr="0022056B" w:rsidR="005B65C9" w:rsidRDefault="005B65C9" w14:paraId="2F0C0590" w14:textId="700E542F">
      <w:pPr>
        <w:pStyle w:val="CommentText"/>
      </w:pPr>
      <w:r w:rsidRPr="0022056B">
        <w:t>J'ai modifié pour mentionner que ca peut aller à plus de 18 mois.</w:t>
      </w:r>
    </w:p>
  </w:comment>
  <w:comment w:initials="CR" w:author="Charles Reny" w:date="2026-02-21T16:31:00Z" w:id="11">
    <w:p w:rsidRPr="0022056B" w:rsidR="00624242" w:rsidRDefault="00624242" w14:paraId="72D844AA" w14:textId="6A9C62DF">
      <w:r w:rsidRPr="0022056B">
        <w:annotationRef/>
      </w:r>
      <w:r w:rsidRPr="0022056B">
        <w:t>Quels sont elle ? SVP c'es intéréssant d'approffondir ce point. Je peux fournir acces aux données de L'ordre des crha</w:t>
      </w:r>
    </w:p>
  </w:comment>
  <w:comment w:initials="SB" w:author="Sylvain Bélanger" w:date="2026-02-23T09:35:00Z" w:id="12">
    <w:p w:rsidRPr="0022056B" w:rsidR="005B65C9" w:rsidRDefault="005B65C9" w14:paraId="4F407EC0" w14:textId="049E748D">
      <w:pPr>
        <w:pStyle w:val="CommentText"/>
      </w:pPr>
      <w:r w:rsidRPr="0022056B">
        <w:rPr>
          <w:rStyle w:val="CommentReference"/>
        </w:rPr>
        <w:annotationRef/>
      </w:r>
      <w:r w:rsidRPr="0022056B">
        <w:t>Je pourrais développer sur ces règlementations mais ca alourdirait trop selon moi.</w:t>
      </w:r>
    </w:p>
    <w:p w:rsidRPr="0022056B" w:rsidR="005B65C9" w:rsidRDefault="005B65C9" w14:paraId="6FBDF43E" w14:textId="44E0FBAB">
      <w:pPr>
        <w:pStyle w:val="CommentText"/>
      </w:pPr>
      <w:r w:rsidRPr="0022056B">
        <w:rPr>
          <w:b/>
          <w:bCs/>
        </w:rPr>
        <w:t>Charte des droits et libertés de la personne du Québec</w:t>
      </w:r>
    </w:p>
    <w:p w:rsidRPr="0022056B" w:rsidR="005B65C9" w:rsidRDefault="005B65C9" w14:paraId="1587BDDB" w14:textId="26F854F2">
      <w:pPr>
        <w:pStyle w:val="CommentText"/>
      </w:pPr>
      <w:r w:rsidRPr="0022056B">
        <w:t>C'est la pierre angulaire. Les articles 10 à 20 interdisent la discrimination en emploi fondée sur des motifs comme la race, le sexe, l'âge, la religion, le handicap, l'orientation sexuelle, etc. En recrutement exécutif assisté par l'IA, cela signifie que les algorithmes de présélection ou de scoring de candidats ne doivent pas reproduire ou amplifier des biais discriminatoires, même de manière indirecte. L'article 18.1 interdit spécifiquement de congédier, refuser d'embaucher ou pénaliser une personne en raison de ses antécédents judiciaires si ceux-ci n'ont pas de lien avec l'emploi.</w:t>
      </w:r>
    </w:p>
    <w:p w:rsidRPr="0022056B" w:rsidR="005B65C9" w:rsidRDefault="005B65C9" w14:paraId="0F257E06" w14:textId="66E073E4">
      <w:pPr>
        <w:pStyle w:val="CommentText"/>
      </w:pPr>
      <w:r w:rsidRPr="0022056B">
        <w:rPr>
          <w:b/>
          <w:bCs/>
        </w:rPr>
        <w:t>Loi sur la protection des renseignements personnels dans le secteur privé (Loi 25)</w:t>
      </w:r>
    </w:p>
    <w:p w:rsidRPr="0022056B" w:rsidR="005B65C9" w:rsidRDefault="005B65C9" w14:paraId="15CDA208" w14:textId="7B820D12">
      <w:pPr>
        <w:pStyle w:val="CommentText"/>
      </w:pPr>
      <w:r w:rsidRPr="0022056B">
        <w:t>C'est probablement la loi la plus transformative pour l'utilisation de l'IA en recrutement. La modernisation apportée par le projet de loi 64 (devenu Loi 25) introduit plusieurs obligations entrées en vigueur progressivement entre 2022 et 2024 :</w:t>
      </w:r>
    </w:p>
    <w:p w:rsidRPr="0022056B" w:rsidR="005B65C9" w:rsidRDefault="005B65C9" w14:paraId="19FA2B30" w14:textId="4D8EBD52">
      <w:pPr>
        <w:pStyle w:val="CommentText"/>
      </w:pPr>
      <w:r w:rsidRPr="0022056B">
        <w:rPr>
          <w:b/>
          <w:bCs/>
        </w:rPr>
        <w:t>Décision automatisée (art. 12.1)</w:t>
      </w:r>
      <w:r w:rsidRPr="0022056B">
        <w:t xml:space="preserve"> : Lorsqu'une décision est fondée exclusivement sur un traitement automatisé de renseignements personnels, l'entreprise doit en informer la personne au moment ou avant la décision. Le candidat a le droit de connaître les renseignements utilisés, les raisons et facteurs ayant mené à la décision, et de faire rectifier les renseignements. C'est directement applicable aux outils d'IA qui trient ou classent des candidatures.</w:t>
      </w:r>
    </w:p>
    <w:p w:rsidRPr="0022056B" w:rsidR="005B65C9" w:rsidRDefault="005B65C9" w14:paraId="708F23A6" w14:textId="51F657CB">
      <w:pPr>
        <w:pStyle w:val="CommentText"/>
      </w:pPr>
      <w:r w:rsidRPr="0022056B">
        <w:rPr>
          <w:b/>
          <w:bCs/>
        </w:rPr>
        <w:t>Consentement et finalité</w:t>
      </w:r>
      <w:r w:rsidRPr="0022056B">
        <w:t xml:space="preserve"> : Les renseignements recueillis doivent être nécessaires à la finalité déclarée. Un outil d'IA qui analyserait des données de réseaux sociaux ou des données comportementales au-delà de ce qui est nécessaire pour évaluer la candidature pourrait contrevenir à cette exigence.</w:t>
      </w:r>
    </w:p>
    <w:p w:rsidRPr="0022056B" w:rsidR="005B65C9" w:rsidRDefault="005B65C9" w14:paraId="344B83CE" w14:textId="3AD11326">
      <w:pPr>
        <w:pStyle w:val="CommentText"/>
      </w:pPr>
      <w:r w:rsidRPr="0022056B">
        <w:rPr>
          <w:b/>
          <w:bCs/>
        </w:rPr>
        <w:t>Évaluation des facteurs relatifs à la vie privée (EFVP)</w:t>
      </w:r>
      <w:r w:rsidRPr="0022056B">
        <w:t xml:space="preserve"> : Obligatoire pour tout projet de système d'information impliquant des renseignements personnels, ce qui inclut l'implantation d'un outil d'IA en recrutement.</w:t>
      </w:r>
    </w:p>
    <w:p w:rsidRPr="0022056B" w:rsidR="005B65C9" w:rsidRDefault="005B65C9" w14:paraId="428AE394" w14:textId="6E5E0DD3">
      <w:pPr>
        <w:pStyle w:val="CommentText"/>
      </w:pPr>
      <w:r w:rsidRPr="0022056B">
        <w:rPr>
          <w:b/>
          <w:bCs/>
        </w:rPr>
        <w:t>Responsable de la protection des renseignements personnels</w:t>
      </w:r>
      <w:r w:rsidRPr="0022056B">
        <w:t xml:space="preserve"> : Chaque organisation doit désigner une personne responsable.</w:t>
      </w:r>
    </w:p>
    <w:p w:rsidRPr="0022056B" w:rsidR="005B65C9" w:rsidRDefault="005B65C9" w14:paraId="607D6633" w14:textId="1C540ECE">
      <w:pPr>
        <w:pStyle w:val="CommentText"/>
      </w:pPr>
      <w:r w:rsidRPr="0022056B">
        <w:rPr>
          <w:b/>
          <w:bCs/>
        </w:rPr>
        <w:t>Loi sur l'équité salariale</w:t>
      </w:r>
    </w:p>
    <w:p w:rsidRPr="0022056B" w:rsidR="005B65C9" w:rsidRDefault="005B65C9" w14:paraId="5E1A7FAE" w14:textId="4F411240">
      <w:pPr>
        <w:pStyle w:val="CommentText"/>
      </w:pPr>
      <w:r w:rsidRPr="0022056B">
        <w:t>Administrée par la CNESST, cette loi oblige les entreprises de 10 employés et plus à assurer l'équité salariale entre les emplois à prédominance féminine et masculine. Si un outil d'IA est utilisé pour déterminer ou recommander des fourchettes salariales dans le cadre du recrutement exécutif, il doit être calibré pour ne pas perpétuer des écarts historiques discriminatoires.</w:t>
      </w:r>
    </w:p>
    <w:p w:rsidRPr="0022056B" w:rsidR="005B65C9" w:rsidRDefault="005B65C9" w14:paraId="2F2D271F" w14:textId="1CB622CA">
      <w:pPr>
        <w:pStyle w:val="CommentText"/>
      </w:pPr>
      <w:r w:rsidRPr="0022056B">
        <w:rPr>
          <w:b/>
          <w:bCs/>
        </w:rPr>
        <w:t>Loi sur les normes du travail</w:t>
      </w:r>
    </w:p>
    <w:p w:rsidRPr="0022056B" w:rsidR="005B65C9" w:rsidRDefault="005B65C9" w14:paraId="0B95D986" w14:textId="2B2E73AB">
      <w:pPr>
        <w:pStyle w:val="CommentText"/>
      </w:pPr>
      <w:r w:rsidRPr="0022056B">
        <w:t>Bien qu'elle encadre surtout les conditions de travail, certaines dispositions touchent le processus d'embauche, notamment l'interdiction de pratiques abusives et les protections relatives aux renseignements demandés aux candidats.</w:t>
      </w:r>
    </w:p>
    <w:p w:rsidRPr="0022056B" w:rsidR="005B65C9" w:rsidRDefault="005B65C9" w14:paraId="19494238" w14:textId="5B33C083">
      <w:pPr>
        <w:pStyle w:val="CommentText"/>
      </w:pPr>
      <w:r w:rsidRPr="0022056B">
        <w:rPr>
          <w:b/>
          <w:bCs/>
        </w:rPr>
        <w:t>Code civil du Québec</w:t>
      </w:r>
    </w:p>
    <w:p w:rsidRPr="0022056B" w:rsidR="005B65C9" w:rsidRDefault="005B65C9" w14:paraId="07472F2B" w14:textId="7860B23A">
      <w:pPr>
        <w:pStyle w:val="CommentText"/>
      </w:pPr>
      <w:r w:rsidRPr="0022056B">
        <w:t>Les articles relatifs au droit à la vie privée (art. 35-41) et à la réputation fournissent un cadre additionnel. L'utilisation de l'IA pour du profilage approfondi de candidats exécutifs (analyse de personnalité à partir de données en ligne, par exemple) pourrait soulever des enjeux de vie privée au sens du Code civil.</w:t>
      </w:r>
    </w:p>
    <w:p w:rsidRPr="0022056B" w:rsidR="005B65C9" w:rsidRDefault="005B65C9" w14:paraId="79FEF443" w14:textId="17C8DA90">
      <w:pPr>
        <w:pStyle w:val="CommentText"/>
      </w:pPr>
      <w:r w:rsidRPr="0022056B">
        <w:rPr>
          <w:b/>
          <w:bCs/>
        </w:rPr>
        <w:t>Loi sur l'accès à l'égalité en emploi dans des organismes publics</w:t>
      </w:r>
    </w:p>
    <w:p w:rsidRPr="0022056B" w:rsidR="005B65C9" w:rsidRDefault="005B65C9" w14:paraId="105DDC67" w14:textId="70A46AFF">
      <w:pPr>
        <w:pStyle w:val="CommentText"/>
      </w:pPr>
      <w:r w:rsidRPr="0022056B">
        <w:t>Pour les organisations assujetties (organismes publics de 100 employés et plus), cette loi impose des programmes d'accès à l'égalité. L'utilisation d'IA en recrutement doit être compatible avec ces programmes et ne pas nuire à la représentation des groupes visés (femmes, autochtones, minorités visibles, minorités ethniques, personnes handicapées).</w:t>
      </w:r>
    </w:p>
    <w:p w:rsidRPr="0022056B" w:rsidR="005B65C9" w:rsidRDefault="005B65C9" w14:paraId="58E2E1C4" w14:textId="1823A875">
      <w:pPr>
        <w:pStyle w:val="CommentText"/>
      </w:pPr>
      <w:r w:rsidRPr="0022056B">
        <w:rPr>
          <w:b/>
          <w:bCs/>
        </w:rPr>
        <w:t>En résumé pour ton document</w:t>
      </w:r>
      <w:r w:rsidRPr="0022056B">
        <w:t>, le cadre québécois est particulièrement exigeant par rapport à d'autres juridictions nord-américaines, surtout avec la Loi 25 qui impose des obligations de transparence spécifiques aux décisions automatisées. Les cabinets de recrutement exécutif utilisant l'IA doivent porter une attention particulière à la transparence algorithmique, au consentement éclairé, à la non-discrimination et à la protection de la vie privée.</w:t>
      </w:r>
    </w:p>
    <w:p w:rsidRPr="0022056B" w:rsidR="005B65C9" w:rsidRDefault="005B65C9" w14:paraId="5B429A93" w14:textId="5F711017">
      <w:pPr>
        <w:pStyle w:val="CommentText"/>
      </w:pPr>
      <w:r w:rsidRPr="0022056B">
        <w:t>Si tu veux, je peux aussi aborder le cadre fédéral canadien (projet de loi C-27 / LIAD) qui pourrait éventuellement ajouter une couche de réglementation spécifique à l'IA.</w:t>
      </w:r>
    </w:p>
    <w:p w:rsidRPr="0022056B" w:rsidR="005B65C9" w:rsidRDefault="005B65C9" w14:paraId="20DF5E3A" w14:textId="35AD0BB7">
      <w:pPr>
        <w:pStyle w:val="CommentText"/>
      </w:pPr>
    </w:p>
  </w:comment>
  <w:comment w:initials="CR" w:author="Charles Reny" w:date="2026-02-23T11:25:00Z" w:id="13">
    <w:p w:rsidRPr="0022056B" w:rsidR="005B65C9" w:rsidRDefault="005B65C9" w14:paraId="4C8BAF8F" w14:textId="1C6FB45B">
      <w:pPr>
        <w:pStyle w:val="CommentText"/>
      </w:pPr>
      <w:r w:rsidRPr="0022056B">
        <w:rPr>
          <w:rStyle w:val="CommentReference"/>
        </w:rPr>
        <w:annotationRef/>
      </w:r>
      <w:r w:rsidRPr="0022056B">
        <w:t>C'es trop long. Mais la formulation actuelle est vague.</w:t>
      </w:r>
    </w:p>
    <w:p w:rsidRPr="0022056B" w:rsidR="005B65C9" w:rsidRDefault="005B65C9" w14:paraId="23858C06" w14:textId="3558A8B6">
      <w:pPr>
        <w:pStyle w:val="CommentText"/>
      </w:pPr>
    </w:p>
  </w:comment>
  <w:comment w:initials="CR" w:author="Charles Reny" w:date="2026-02-21T16:34:00Z" w:id="14">
    <w:p w:rsidR="00624242" w:rsidRDefault="00624242" w14:paraId="40A55C44" w14:textId="07D7F958">
      <w:r w:rsidRPr="0022056B">
        <w:annotationRef/>
      </w:r>
      <w:r w:rsidRPr="0022056B">
        <w:fldChar w:fldCharType="begin"/>
      </w:r>
      <w:r w:rsidRPr="0022056B">
        <w:instrText xml:space="preserve"> HYPERLINK "mailto:sbelanger@crc-conseils.com"</w:instrText>
      </w:r>
      <w:bookmarkStart w:name="_@_0BC268F267EE40CE861742DEBC0609BEZ" w:id="15"/>
      <w:r w:rsidRPr="0022056B">
        <w:fldChar w:fldCharType="separate"/>
      </w:r>
      <w:bookmarkEnd w:id="15"/>
      <w:r w:rsidRPr="0022056B">
        <w:t>@Sylvain Bélanger</w:t>
      </w:r>
      <w:r w:rsidRPr="0022056B">
        <w:fldChar w:fldCharType="end"/>
      </w:r>
      <w:r w:rsidRPr="0022056B">
        <w:t xml:space="preserve"> J'aime beaucoup ton document. C'est vraiment majeur ce que tu as fait et touché comme sujet. Faudrait le publier en meme temps que nous PUBLIERONS notre CODE DETIQUE sur notre site WEB. Absolument cohérent de faire cela simultanément ( En fait le code avant l'artricel) BRAVO Sylvain.</w:t>
      </w:r>
    </w:p>
  </w:comment>
</w:comments>
</file>

<file path=word/commentsExtended.xml><?xml version="1.0" encoding="utf-8"?>
<w15:commentsEx xmlns:mc="http://schemas.openxmlformats.org/markup-compatibility/2006" xmlns:w15="http://schemas.microsoft.com/office/word/2012/wordml" mc:Ignorable="w15">
  <w15:commentEx w15:done="1" w15:paraId="1C21ADC6"/>
  <w15:commentEx w15:done="1" w15:paraId="563B5AFC"/>
  <w15:commentEx w15:done="1" w15:paraId="64CA4CFE"/>
  <w15:commentEx w15:done="1" w15:paraId="5CFFCA61" w15:paraIdParent="64CA4CFE"/>
  <w15:commentEx w15:done="1" w15:paraId="01E2FD82"/>
  <w15:commentEx w15:done="1" w15:paraId="6D32CB6E" w15:paraIdParent="01E2FD82"/>
  <w15:commentEx w15:done="1" w15:paraId="682D66AE"/>
  <w15:commentEx w15:done="1" w15:paraId="4C7A8486" w15:paraIdParent="682D66AE"/>
  <w15:commentEx w15:done="1" w15:paraId="7B0D38A0"/>
  <w15:commentEx w15:done="1" w15:paraId="2F0C0590" w15:paraIdParent="7B0D38A0"/>
  <w15:commentEx w15:done="1" w15:paraId="72D844AA"/>
  <w15:commentEx w15:done="1" w15:paraId="20DF5E3A" w15:paraIdParent="72D844AA"/>
  <w15:commentEx w15:done="1" w15:paraId="23858C06" w15:paraIdParent="72D844AA"/>
  <w15:commentEx w15:done="1" w15:paraId="40A55C4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BA7C83" w16cex:dateUtc="2026-02-25T14:14:00Z">
    <w16cex:extLst>
      <w16:ext w16:uri="{CE6994B0-6A32-4C9F-8C6B-6E91EDA988CE}">
        <cr:reactions xmlns:cr="http://schemas.microsoft.com/office/comments/2020/reactions">
          <cr:reaction reactionType="1">
            <cr:reactionInfo dateUtc="2026-02-26T15:38:47.851Z">
              <cr:user userId="S::creny@crc-conseils.com::6ad42b73-08ee-4685-8bef-a93422529455" userProvider="AD" userName="Charles Reny"/>
            </cr:reactionInfo>
          </cr:reaction>
        </cr:reactions>
      </w16:ext>
    </w16cex:extLst>
  </w16cex:commentExtensible>
  <w16cex:commentExtensible w16cex:durableId="08C5139B" w16cex:dateUtc="2026-02-21T21:18:00Z"/>
  <w16cex:commentExtensible w16cex:durableId="2D04206D" w16cex:dateUtc="2026-02-21T21:20:00Z"/>
  <w16cex:commentExtensible w16cex:durableId="741E1B78" w16cex:dateUtc="2026-02-23T14:17:00Z"/>
  <w16cex:commentExtensible w16cex:durableId="1422E826" w16cex:dateUtc="2026-02-21T21:23:00Z">
    <w16cex:extLst>
      <w16:ext w16:uri="{CE6994B0-6A32-4C9F-8C6B-6E91EDA988CE}">
        <cr:reactions xmlns:cr="http://schemas.microsoft.com/office/comments/2020/reactions">
          <cr:reaction reactionType="1">
            <cr:reactionInfo dateUtc="2026-02-23T16:23:47Z">
              <cr:user userId="S::creny@crc-conseils.com::6ad42b73-08ee-4685-8bef-a93422529455" userProvider="AD" userName="Charles Reny"/>
            </cr:reactionInfo>
          </cr:reaction>
        </cr:reactions>
      </w16:ext>
    </w16cex:extLst>
  </w16cex:commentExtensible>
  <w16cex:commentExtensible w16cex:durableId="5AFD4A83" w16cex:dateUtc="2026-02-23T14:19:00Z"/>
  <w16cex:commentExtensible w16cex:durableId="69513CC2" w16cex:dateUtc="2026-02-21T21:25:00Z">
    <w16cex:extLst>
      <w16:ext w16:uri="{CE6994B0-6A32-4C9F-8C6B-6E91EDA988CE}">
        <cr:reactions xmlns:cr="http://schemas.microsoft.com/office/comments/2020/reactions">
          <cr:reaction reactionType="1">
            <cr:reactionInfo dateUtc="2026-02-23T16:23:53Z">
              <cr:user userId="S::creny@crc-conseils.com::6ad42b73-08ee-4685-8bef-a93422529455" userProvider="AD" userName="Charles Reny"/>
            </cr:reactionInfo>
          </cr:reaction>
        </cr:reactions>
      </w16:ext>
    </w16cex:extLst>
  </w16cex:commentExtensible>
  <w16cex:commentExtensible w16cex:durableId="794B17EA" w16cex:dateUtc="2026-02-23T14:20:00Z"/>
  <w16cex:commentExtensible w16cex:durableId="77AAF1C7" w16cex:dateUtc="2026-02-21T21:27:00Z">
    <w16cex:extLst>
      <w16:ext w16:uri="{CE6994B0-6A32-4C9F-8C6B-6E91EDA988CE}">
        <cr:reactions xmlns:cr="http://schemas.microsoft.com/office/comments/2020/reactions">
          <cr:reaction reactionType="1">
            <cr:reactionInfo dateUtc="2026-02-23T16:24:11Z">
              <cr:user userId="S::creny@crc-conseils.com::6ad42b73-08ee-4685-8bef-a93422529455" userProvider="AD" userName="Charles Reny"/>
            </cr:reactionInfo>
          </cr:reaction>
        </cr:reactions>
      </w16:ext>
    </w16cex:extLst>
  </w16cex:commentExtensible>
  <w16cex:commentExtensible w16cex:durableId="7C30449A" w16cex:dateUtc="2026-02-23T14:22:00Z"/>
  <w16cex:commentExtensible w16cex:durableId="7DEAAAB2" w16cex:dateUtc="2026-02-21T21:31:00Z"/>
  <w16cex:commentExtensible w16cex:durableId="2E1980F5" w16cex:dateUtc="2026-02-23T14:35:00Z"/>
  <w16cex:commentExtensible w16cex:durableId="6DD5A6C9" w16cex:dateUtc="2026-02-23T16:25:00Z"/>
  <w16cex:commentExtensible w16cex:durableId="576D3FBF" w16cex:dateUtc="2026-02-21T21:34:00Z"/>
</w16cex:commentsExtensible>
</file>

<file path=word/commentsIds.xml><?xml version="1.0" encoding="utf-8"?>
<w16cid:commentsIds xmlns:mc="http://schemas.openxmlformats.org/markup-compatibility/2006" xmlns:w16cid="http://schemas.microsoft.com/office/word/2016/wordml/cid" mc:Ignorable="w16cid">
  <w16cid:commentId w16cid:paraId="1C21ADC6" w16cid:durableId="05BA7C83"/>
  <w16cid:commentId w16cid:paraId="563B5AFC" w16cid:durableId="08C5139B"/>
  <w16cid:commentId w16cid:paraId="64CA4CFE" w16cid:durableId="2D04206D"/>
  <w16cid:commentId w16cid:paraId="5CFFCA61" w16cid:durableId="741E1B78"/>
  <w16cid:commentId w16cid:paraId="01E2FD82" w16cid:durableId="1422E826"/>
  <w16cid:commentId w16cid:paraId="6D32CB6E" w16cid:durableId="5AFD4A83"/>
  <w16cid:commentId w16cid:paraId="682D66AE" w16cid:durableId="69513CC2"/>
  <w16cid:commentId w16cid:paraId="4C7A8486" w16cid:durableId="794B17EA"/>
  <w16cid:commentId w16cid:paraId="7B0D38A0" w16cid:durableId="77AAF1C7"/>
  <w16cid:commentId w16cid:paraId="2F0C0590" w16cid:durableId="7C30449A"/>
  <w16cid:commentId w16cid:paraId="72D844AA" w16cid:durableId="7DEAAAB2"/>
  <w16cid:commentId w16cid:paraId="20DF5E3A" w16cid:durableId="2E1980F5"/>
  <w16cid:commentId w16cid:paraId="23858C06" w16cid:durableId="6DD5A6C9"/>
  <w16cid:commentId w16cid:paraId="40A55C44" w16cid:durableId="576D3F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2056B" w:rsidR="00B921FF" w:rsidRDefault="00B921FF" w14:paraId="346E7FF7" w14:textId="77777777">
      <w:r w:rsidRPr="0022056B">
        <w:separator/>
      </w:r>
    </w:p>
  </w:endnote>
  <w:endnote w:type="continuationSeparator" w:id="0">
    <w:p w:rsidRPr="0022056B" w:rsidR="00B921FF" w:rsidRDefault="00B921FF" w14:paraId="5E8AC123" w14:textId="77777777">
      <w:r w:rsidRPr="0022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2056B" w:rsidR="00333EDE" w:rsidRDefault="00624242" w14:paraId="3CC13F27" w14:textId="77777777">
    <w:pPr>
      <w:pBdr>
        <w:top w:val="single" w:color="E87722" w:sz="4" w:space="1"/>
      </w:pBdr>
      <w:spacing w:before="100"/>
    </w:pPr>
    <w:r w:rsidRPr="0022056B">
      <w:rPr>
        <w:color w:val="555555"/>
        <w:sz w:val="16"/>
        <w:szCs w:val="16"/>
      </w:rPr>
      <w:t xml:space="preserve">CRC </w:t>
    </w:r>
    <w:proofErr w:type="gramStart"/>
    <w:r w:rsidRPr="0022056B">
      <w:rPr>
        <w:color w:val="555555"/>
        <w:sz w:val="16"/>
        <w:szCs w:val="16"/>
      </w:rPr>
      <w:t>CONSEILS  •</w:t>
    </w:r>
    <w:proofErr w:type="gramEnd"/>
    <w:r w:rsidRPr="0022056B">
      <w:rPr>
        <w:color w:val="555555"/>
        <w:sz w:val="16"/>
        <w:szCs w:val="16"/>
      </w:rPr>
      <w:t xml:space="preserve">  </w:t>
    </w:r>
    <w:proofErr w:type="gramStart"/>
    <w:r w:rsidRPr="0022056B">
      <w:rPr>
        <w:color w:val="555555"/>
        <w:sz w:val="16"/>
        <w:szCs w:val="16"/>
      </w:rPr>
      <w:t>crc-conseils.com  •</w:t>
    </w:r>
    <w:proofErr w:type="gramEnd"/>
    <w:r w:rsidRPr="0022056B">
      <w:rPr>
        <w:color w:val="555555"/>
        <w:sz w:val="16"/>
        <w:szCs w:val="16"/>
      </w:rPr>
      <w:t xml:space="preserve">  514 433-6395     Page </w:t>
    </w:r>
    <w:r w:rsidRPr="0022056B">
      <w:fldChar w:fldCharType="begin"/>
    </w:r>
    <w:r w:rsidRPr="0022056B">
      <w:instrText>PAGE</w:instrText>
    </w:r>
    <w:r w:rsidRPr="0022056B">
      <w:fldChar w:fldCharType="separate"/>
    </w:r>
    <w:r w:rsidRPr="0022056B" w:rsidR="00EC21C6">
      <w:t>1</w:t>
    </w:r>
    <w:r w:rsidRPr="002205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2056B" w:rsidR="00B921FF" w:rsidRDefault="00B921FF" w14:paraId="74B9EF8D" w14:textId="77777777">
      <w:r w:rsidRPr="0022056B">
        <w:separator/>
      </w:r>
    </w:p>
  </w:footnote>
  <w:footnote w:type="continuationSeparator" w:id="0">
    <w:p w:rsidRPr="0022056B" w:rsidR="00B921FF" w:rsidRDefault="00B921FF" w14:paraId="44DE5FA7" w14:textId="77777777">
      <w:r w:rsidRPr="0022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2056B" w:rsidR="00333EDE" w:rsidRDefault="00624242" w14:paraId="0070406D" w14:textId="77777777">
    <w:pPr>
      <w:pBdr>
        <w:bottom w:val="single" w:color="E87722" w:sz="4" w:space="1"/>
      </w:pBdr>
      <w:spacing w:after="200"/>
    </w:pPr>
    <w:r w:rsidRPr="0022056B">
      <w:rPr>
        <w:color w:val="555555"/>
        <w:sz w:val="16"/>
        <w:szCs w:val="16"/>
      </w:rPr>
      <w:t xml:space="preserve">CRC </w:t>
    </w:r>
    <w:proofErr w:type="gramStart"/>
    <w:r w:rsidRPr="0022056B">
      <w:rPr>
        <w:color w:val="555555"/>
        <w:sz w:val="16"/>
        <w:szCs w:val="16"/>
      </w:rPr>
      <w:t>CONSEILS  |</w:t>
    </w:r>
    <w:proofErr w:type="gramEnd"/>
    <w:r w:rsidRPr="0022056B">
      <w:rPr>
        <w:color w:val="555555"/>
        <w:sz w:val="16"/>
        <w:szCs w:val="16"/>
      </w:rPr>
      <w:t xml:space="preserve">  L'ÉTHIQUE EN RECRUTEMENT EXÉCUTIF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15953"/>
    <w:multiLevelType w:val="hybridMultilevel"/>
    <w:tmpl w:val="FC0C13AA"/>
    <w:lvl w:ilvl="0" w:tplc="B3183FEC">
      <w:start w:val="1"/>
      <w:numFmt w:val="bullet"/>
      <w:lvlText w:val="•"/>
      <w:lvlJc w:val="left"/>
      <w:pPr>
        <w:ind w:left="720" w:hanging="360"/>
      </w:pPr>
    </w:lvl>
    <w:lvl w:ilvl="1" w:tplc="C1EE61C2">
      <w:numFmt w:val="decimal"/>
      <w:lvlText w:val=""/>
      <w:lvlJc w:val="left"/>
    </w:lvl>
    <w:lvl w:ilvl="2" w:tplc="EC841C6C">
      <w:numFmt w:val="decimal"/>
      <w:lvlText w:val=""/>
      <w:lvlJc w:val="left"/>
    </w:lvl>
    <w:lvl w:ilvl="3" w:tplc="C5F00EB2">
      <w:numFmt w:val="decimal"/>
      <w:lvlText w:val=""/>
      <w:lvlJc w:val="left"/>
    </w:lvl>
    <w:lvl w:ilvl="4" w:tplc="066485D4">
      <w:numFmt w:val="decimal"/>
      <w:lvlText w:val=""/>
      <w:lvlJc w:val="left"/>
    </w:lvl>
    <w:lvl w:ilvl="5" w:tplc="90101B76">
      <w:numFmt w:val="decimal"/>
      <w:lvlText w:val=""/>
      <w:lvlJc w:val="left"/>
    </w:lvl>
    <w:lvl w:ilvl="6" w:tplc="E5F8F742">
      <w:numFmt w:val="decimal"/>
      <w:lvlText w:val=""/>
      <w:lvlJc w:val="left"/>
    </w:lvl>
    <w:lvl w:ilvl="7" w:tplc="60D679A6">
      <w:numFmt w:val="decimal"/>
      <w:lvlText w:val=""/>
      <w:lvlJc w:val="left"/>
    </w:lvl>
    <w:lvl w:ilvl="8" w:tplc="53B84380">
      <w:numFmt w:val="decimal"/>
      <w:lvlText w:val=""/>
      <w:lvlJc w:val="left"/>
    </w:lvl>
  </w:abstractNum>
  <w:abstractNum w:abstractNumId="1" w15:restartNumberingAfterBreak="0">
    <w:nsid w:val="5F296407"/>
    <w:multiLevelType w:val="hybridMultilevel"/>
    <w:tmpl w:val="927C1A00"/>
    <w:lvl w:ilvl="0" w:tplc="B6542B86">
      <w:start w:val="1"/>
      <w:numFmt w:val="bullet"/>
      <w:lvlText w:val="●"/>
      <w:lvlJc w:val="left"/>
      <w:pPr>
        <w:ind w:left="720" w:hanging="360"/>
      </w:pPr>
    </w:lvl>
    <w:lvl w:ilvl="1" w:tplc="0F64DAF2">
      <w:start w:val="1"/>
      <w:numFmt w:val="bullet"/>
      <w:lvlText w:val="○"/>
      <w:lvlJc w:val="left"/>
      <w:pPr>
        <w:ind w:left="1440" w:hanging="360"/>
      </w:pPr>
    </w:lvl>
    <w:lvl w:ilvl="2" w:tplc="262E391E">
      <w:start w:val="1"/>
      <w:numFmt w:val="bullet"/>
      <w:lvlText w:val="■"/>
      <w:lvlJc w:val="left"/>
      <w:pPr>
        <w:ind w:left="2160" w:hanging="360"/>
      </w:pPr>
    </w:lvl>
    <w:lvl w:ilvl="3" w:tplc="8072F9B2">
      <w:start w:val="1"/>
      <w:numFmt w:val="bullet"/>
      <w:lvlText w:val="●"/>
      <w:lvlJc w:val="left"/>
      <w:pPr>
        <w:ind w:left="2880" w:hanging="360"/>
      </w:pPr>
    </w:lvl>
    <w:lvl w:ilvl="4" w:tplc="C44412C4">
      <w:start w:val="1"/>
      <w:numFmt w:val="bullet"/>
      <w:lvlText w:val="○"/>
      <w:lvlJc w:val="left"/>
      <w:pPr>
        <w:ind w:left="3600" w:hanging="360"/>
      </w:pPr>
    </w:lvl>
    <w:lvl w:ilvl="5" w:tplc="526A46B8">
      <w:start w:val="1"/>
      <w:numFmt w:val="bullet"/>
      <w:lvlText w:val="■"/>
      <w:lvlJc w:val="left"/>
      <w:pPr>
        <w:ind w:left="4320" w:hanging="360"/>
      </w:pPr>
    </w:lvl>
    <w:lvl w:ilvl="6" w:tplc="858843E0">
      <w:start w:val="1"/>
      <w:numFmt w:val="bullet"/>
      <w:lvlText w:val="●"/>
      <w:lvlJc w:val="left"/>
      <w:pPr>
        <w:ind w:left="5040" w:hanging="360"/>
      </w:pPr>
    </w:lvl>
    <w:lvl w:ilvl="7" w:tplc="5000918C">
      <w:start w:val="1"/>
      <w:numFmt w:val="bullet"/>
      <w:lvlText w:val="●"/>
      <w:lvlJc w:val="left"/>
      <w:pPr>
        <w:ind w:left="5760" w:hanging="360"/>
      </w:pPr>
    </w:lvl>
    <w:lvl w:ilvl="8" w:tplc="4DAE8858">
      <w:start w:val="1"/>
      <w:numFmt w:val="bullet"/>
      <w:lvlText w:val="●"/>
      <w:lvlJc w:val="left"/>
      <w:pPr>
        <w:ind w:left="6480" w:hanging="360"/>
      </w:pPr>
    </w:lvl>
  </w:abstractNum>
  <w:abstractNum w:abstractNumId="2" w15:restartNumberingAfterBreak="0">
    <w:nsid w:val="67E61CAF"/>
    <w:multiLevelType w:val="hybridMultilevel"/>
    <w:tmpl w:val="132E3DF6"/>
    <w:lvl w:ilvl="0" w:tplc="85D81762">
      <w:start w:val="1"/>
      <w:numFmt w:val="bullet"/>
      <w:lvlText w:val=""/>
      <w:lvlJc w:val="left"/>
      <w:pPr>
        <w:ind w:left="720" w:hanging="360"/>
      </w:pPr>
      <w:rPr>
        <w:rFonts w:hint="default" w:ascii="Symbol" w:hAnsi="Symbol"/>
      </w:rPr>
    </w:lvl>
    <w:lvl w:ilvl="1" w:tplc="4F9A599A">
      <w:start w:val="1"/>
      <w:numFmt w:val="bullet"/>
      <w:lvlText w:val="o"/>
      <w:lvlJc w:val="left"/>
      <w:pPr>
        <w:ind w:left="1440" w:hanging="360"/>
      </w:pPr>
      <w:rPr>
        <w:rFonts w:hint="default" w:ascii="Courier New" w:hAnsi="Courier New"/>
      </w:rPr>
    </w:lvl>
    <w:lvl w:ilvl="2" w:tplc="F02EC16C">
      <w:start w:val="1"/>
      <w:numFmt w:val="bullet"/>
      <w:lvlText w:val=""/>
      <w:lvlJc w:val="left"/>
      <w:pPr>
        <w:ind w:left="2160" w:hanging="360"/>
      </w:pPr>
      <w:rPr>
        <w:rFonts w:hint="default" w:ascii="Wingdings" w:hAnsi="Wingdings"/>
      </w:rPr>
    </w:lvl>
    <w:lvl w:ilvl="3" w:tplc="E0F01748">
      <w:start w:val="1"/>
      <w:numFmt w:val="bullet"/>
      <w:lvlText w:val=""/>
      <w:lvlJc w:val="left"/>
      <w:pPr>
        <w:ind w:left="2880" w:hanging="360"/>
      </w:pPr>
      <w:rPr>
        <w:rFonts w:hint="default" w:ascii="Symbol" w:hAnsi="Symbol"/>
      </w:rPr>
    </w:lvl>
    <w:lvl w:ilvl="4" w:tplc="A2B44CB0">
      <w:start w:val="1"/>
      <w:numFmt w:val="bullet"/>
      <w:lvlText w:val="o"/>
      <w:lvlJc w:val="left"/>
      <w:pPr>
        <w:ind w:left="3600" w:hanging="360"/>
      </w:pPr>
      <w:rPr>
        <w:rFonts w:hint="default" w:ascii="Courier New" w:hAnsi="Courier New"/>
      </w:rPr>
    </w:lvl>
    <w:lvl w:ilvl="5" w:tplc="751671DA">
      <w:start w:val="1"/>
      <w:numFmt w:val="bullet"/>
      <w:lvlText w:val=""/>
      <w:lvlJc w:val="left"/>
      <w:pPr>
        <w:ind w:left="4320" w:hanging="360"/>
      </w:pPr>
      <w:rPr>
        <w:rFonts w:hint="default" w:ascii="Wingdings" w:hAnsi="Wingdings"/>
      </w:rPr>
    </w:lvl>
    <w:lvl w:ilvl="6" w:tplc="581E06E4">
      <w:start w:val="1"/>
      <w:numFmt w:val="bullet"/>
      <w:lvlText w:val=""/>
      <w:lvlJc w:val="left"/>
      <w:pPr>
        <w:ind w:left="5040" w:hanging="360"/>
      </w:pPr>
      <w:rPr>
        <w:rFonts w:hint="default" w:ascii="Symbol" w:hAnsi="Symbol"/>
      </w:rPr>
    </w:lvl>
    <w:lvl w:ilvl="7" w:tplc="B4107AAE">
      <w:start w:val="1"/>
      <w:numFmt w:val="bullet"/>
      <w:lvlText w:val="o"/>
      <w:lvlJc w:val="left"/>
      <w:pPr>
        <w:ind w:left="5760" w:hanging="360"/>
      </w:pPr>
      <w:rPr>
        <w:rFonts w:hint="default" w:ascii="Courier New" w:hAnsi="Courier New"/>
      </w:rPr>
    </w:lvl>
    <w:lvl w:ilvl="8" w:tplc="0A328C32">
      <w:start w:val="1"/>
      <w:numFmt w:val="bullet"/>
      <w:lvlText w:val=""/>
      <w:lvlJc w:val="left"/>
      <w:pPr>
        <w:ind w:left="6480" w:hanging="360"/>
      </w:pPr>
      <w:rPr>
        <w:rFonts w:hint="default" w:ascii="Wingdings" w:hAnsi="Wingdings"/>
      </w:rPr>
    </w:lvl>
  </w:abstractNum>
  <w:num w:numId="1" w16cid:durableId="991325122">
    <w:abstractNumId w:val="2"/>
  </w:num>
  <w:num w:numId="2" w16cid:durableId="1428307880">
    <w:abstractNumId w:val="1"/>
    <w:lvlOverride w:ilvl="0">
      <w:startOverride w:val="1"/>
    </w:lvlOverride>
  </w:num>
  <w:num w:numId="3" w16cid:durableId="1545101214">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ne Reny">
    <w15:presenceInfo w15:providerId="AD" w15:userId="S::claureny@crc-conseils.com::db3c0f75-257c-47ae-b3c5-00aec9e1a2f3"/>
  </w15:person>
  <w15:person w15:author="Charles Reny">
    <w15:presenceInfo w15:providerId="AD" w15:userId="S::creny@crc-conseils.com::6ad42b73-08ee-4685-8bef-a93422529455"/>
  </w15:person>
  <w15:person w15:author="Sylvain Bélanger">
    <w15:presenceInfo w15:providerId="AD" w15:userId="S::sbelanger@crc-conseils.com::ef63f905-7613-4630-a5f1-8bf305a958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DE"/>
    <w:rsid w:val="000126BE"/>
    <w:rsid w:val="00031DCD"/>
    <w:rsid w:val="00036AC4"/>
    <w:rsid w:val="00042B1E"/>
    <w:rsid w:val="000571BC"/>
    <w:rsid w:val="000978C6"/>
    <w:rsid w:val="000E3A23"/>
    <w:rsid w:val="001073AA"/>
    <w:rsid w:val="00111B3B"/>
    <w:rsid w:val="0015562C"/>
    <w:rsid w:val="001757A8"/>
    <w:rsid w:val="00177E5F"/>
    <w:rsid w:val="00186EDB"/>
    <w:rsid w:val="00197EF9"/>
    <w:rsid w:val="001A2B38"/>
    <w:rsid w:val="001B086D"/>
    <w:rsid w:val="001C688C"/>
    <w:rsid w:val="001E5888"/>
    <w:rsid w:val="001F31A7"/>
    <w:rsid w:val="001F4DF7"/>
    <w:rsid w:val="00200727"/>
    <w:rsid w:val="002012D0"/>
    <w:rsid w:val="002115DA"/>
    <w:rsid w:val="0022056B"/>
    <w:rsid w:val="00240E5B"/>
    <w:rsid w:val="00242E64"/>
    <w:rsid w:val="00246F86"/>
    <w:rsid w:val="00294627"/>
    <w:rsid w:val="002C2FA5"/>
    <w:rsid w:val="002C5CD2"/>
    <w:rsid w:val="00333EDE"/>
    <w:rsid w:val="00343DE6"/>
    <w:rsid w:val="00355D14"/>
    <w:rsid w:val="00397759"/>
    <w:rsid w:val="003E024E"/>
    <w:rsid w:val="003F9111"/>
    <w:rsid w:val="00403AC8"/>
    <w:rsid w:val="0041001C"/>
    <w:rsid w:val="004156B7"/>
    <w:rsid w:val="00434CF4"/>
    <w:rsid w:val="00465F5D"/>
    <w:rsid w:val="00476FEF"/>
    <w:rsid w:val="004C39FD"/>
    <w:rsid w:val="004C76A9"/>
    <w:rsid w:val="00512B66"/>
    <w:rsid w:val="005231C3"/>
    <w:rsid w:val="00555F22"/>
    <w:rsid w:val="0056753D"/>
    <w:rsid w:val="0059021D"/>
    <w:rsid w:val="005A3A4C"/>
    <w:rsid w:val="005B65C9"/>
    <w:rsid w:val="005C3E37"/>
    <w:rsid w:val="005D497E"/>
    <w:rsid w:val="005E3077"/>
    <w:rsid w:val="005F57C4"/>
    <w:rsid w:val="005F70F1"/>
    <w:rsid w:val="00624242"/>
    <w:rsid w:val="00657417"/>
    <w:rsid w:val="0067066E"/>
    <w:rsid w:val="00672FB2"/>
    <w:rsid w:val="006857C6"/>
    <w:rsid w:val="0069217F"/>
    <w:rsid w:val="006B241D"/>
    <w:rsid w:val="006B2D59"/>
    <w:rsid w:val="006C63D2"/>
    <w:rsid w:val="006E6DE7"/>
    <w:rsid w:val="0070280F"/>
    <w:rsid w:val="0071179F"/>
    <w:rsid w:val="00713B1B"/>
    <w:rsid w:val="00751E10"/>
    <w:rsid w:val="00762A1C"/>
    <w:rsid w:val="007819BB"/>
    <w:rsid w:val="0079781D"/>
    <w:rsid w:val="007C23C4"/>
    <w:rsid w:val="007C355C"/>
    <w:rsid w:val="007C6BAC"/>
    <w:rsid w:val="007D1DE8"/>
    <w:rsid w:val="0080415E"/>
    <w:rsid w:val="00831304"/>
    <w:rsid w:val="00831C12"/>
    <w:rsid w:val="00915BBF"/>
    <w:rsid w:val="0097364D"/>
    <w:rsid w:val="009833F4"/>
    <w:rsid w:val="00996A64"/>
    <w:rsid w:val="009A533D"/>
    <w:rsid w:val="009F002D"/>
    <w:rsid w:val="009F0BFA"/>
    <w:rsid w:val="00A0133D"/>
    <w:rsid w:val="00A34A20"/>
    <w:rsid w:val="00A57D14"/>
    <w:rsid w:val="00A6404F"/>
    <w:rsid w:val="00AB4280"/>
    <w:rsid w:val="00AC2F07"/>
    <w:rsid w:val="00B024C5"/>
    <w:rsid w:val="00B17040"/>
    <w:rsid w:val="00B26F04"/>
    <w:rsid w:val="00B56CE8"/>
    <w:rsid w:val="00B806F6"/>
    <w:rsid w:val="00B87393"/>
    <w:rsid w:val="00B921FF"/>
    <w:rsid w:val="00BA1EE8"/>
    <w:rsid w:val="00BB78F2"/>
    <w:rsid w:val="00BF0D94"/>
    <w:rsid w:val="00C1623E"/>
    <w:rsid w:val="00C427D4"/>
    <w:rsid w:val="00C87929"/>
    <w:rsid w:val="00CA292D"/>
    <w:rsid w:val="00CB1068"/>
    <w:rsid w:val="00CC6175"/>
    <w:rsid w:val="00CD3FF7"/>
    <w:rsid w:val="00CE0453"/>
    <w:rsid w:val="00CE1C01"/>
    <w:rsid w:val="00D14525"/>
    <w:rsid w:val="00D748F6"/>
    <w:rsid w:val="00DA4EA5"/>
    <w:rsid w:val="00DF7DE2"/>
    <w:rsid w:val="00E6695A"/>
    <w:rsid w:val="00E75283"/>
    <w:rsid w:val="00EA9648"/>
    <w:rsid w:val="00EB27F5"/>
    <w:rsid w:val="00EC21C6"/>
    <w:rsid w:val="00F0129F"/>
    <w:rsid w:val="00F205BF"/>
    <w:rsid w:val="00F42C89"/>
    <w:rsid w:val="00F53F36"/>
    <w:rsid w:val="00F610DA"/>
    <w:rsid w:val="00F658AC"/>
    <w:rsid w:val="00F65B00"/>
    <w:rsid w:val="00F66470"/>
    <w:rsid w:val="00F907AA"/>
    <w:rsid w:val="023D3B89"/>
    <w:rsid w:val="02D66240"/>
    <w:rsid w:val="02D6AA02"/>
    <w:rsid w:val="02E7DDE7"/>
    <w:rsid w:val="031B937C"/>
    <w:rsid w:val="03740878"/>
    <w:rsid w:val="05736181"/>
    <w:rsid w:val="081F3AE9"/>
    <w:rsid w:val="08846DF9"/>
    <w:rsid w:val="0A07D940"/>
    <w:rsid w:val="0A1C2A6F"/>
    <w:rsid w:val="0AE1A244"/>
    <w:rsid w:val="0BF81307"/>
    <w:rsid w:val="13A0DACE"/>
    <w:rsid w:val="1510224C"/>
    <w:rsid w:val="1704B557"/>
    <w:rsid w:val="18BF1C3D"/>
    <w:rsid w:val="1C8EA24A"/>
    <w:rsid w:val="1DD99C2D"/>
    <w:rsid w:val="1F383FB8"/>
    <w:rsid w:val="208B4B3C"/>
    <w:rsid w:val="2776A461"/>
    <w:rsid w:val="292FE1DF"/>
    <w:rsid w:val="2F06F5A7"/>
    <w:rsid w:val="2F1C023A"/>
    <w:rsid w:val="2F1EF0DD"/>
    <w:rsid w:val="2FFE5ED5"/>
    <w:rsid w:val="315D70C2"/>
    <w:rsid w:val="34228AF3"/>
    <w:rsid w:val="37AB1CAD"/>
    <w:rsid w:val="39B70112"/>
    <w:rsid w:val="3A2C7860"/>
    <w:rsid w:val="3C86714B"/>
    <w:rsid w:val="3E899BBE"/>
    <w:rsid w:val="3F732E1D"/>
    <w:rsid w:val="41579005"/>
    <w:rsid w:val="44FA64BA"/>
    <w:rsid w:val="45E5D259"/>
    <w:rsid w:val="474DFDD8"/>
    <w:rsid w:val="48481222"/>
    <w:rsid w:val="4938041C"/>
    <w:rsid w:val="4AB58931"/>
    <w:rsid w:val="4D1E192A"/>
    <w:rsid w:val="4DFDB009"/>
    <w:rsid w:val="4E1DFFAD"/>
    <w:rsid w:val="4F4BA371"/>
    <w:rsid w:val="50F888EF"/>
    <w:rsid w:val="519180CF"/>
    <w:rsid w:val="523FD41D"/>
    <w:rsid w:val="52493B21"/>
    <w:rsid w:val="52EA7D19"/>
    <w:rsid w:val="549E7FC9"/>
    <w:rsid w:val="54A03022"/>
    <w:rsid w:val="5606B8F5"/>
    <w:rsid w:val="56ED1274"/>
    <w:rsid w:val="570B5612"/>
    <w:rsid w:val="58FE7EA4"/>
    <w:rsid w:val="5922F1EB"/>
    <w:rsid w:val="59D08B22"/>
    <w:rsid w:val="5B21CC1D"/>
    <w:rsid w:val="6071AFBD"/>
    <w:rsid w:val="610D252B"/>
    <w:rsid w:val="611807E8"/>
    <w:rsid w:val="611DE240"/>
    <w:rsid w:val="61352E91"/>
    <w:rsid w:val="614C3DA4"/>
    <w:rsid w:val="62E52873"/>
    <w:rsid w:val="63559B5C"/>
    <w:rsid w:val="6414E4D0"/>
    <w:rsid w:val="64D0EE84"/>
    <w:rsid w:val="67BE344E"/>
    <w:rsid w:val="67C91353"/>
    <w:rsid w:val="697740BD"/>
    <w:rsid w:val="6AFEFCF4"/>
    <w:rsid w:val="6B0C65CC"/>
    <w:rsid w:val="6C0F24D7"/>
    <w:rsid w:val="6DC6535A"/>
    <w:rsid w:val="75D694C6"/>
    <w:rsid w:val="79D7DDC3"/>
    <w:rsid w:val="7A06BDA8"/>
    <w:rsid w:val="7AF60BCD"/>
    <w:rsid w:val="7EA34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5024"/>
  <w15:docId w15:val="{289082B4-CFCB-4DB2-AC88-1D83E42E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304"/>
  </w:style>
  <w:style w:type="paragraph" w:styleId="Heading1">
    <w:name w:val="heading 1"/>
    <w:uiPriority w:val="9"/>
    <w:qFormat/>
    <w:pPr>
      <w:spacing w:before="360" w:after="200"/>
      <w:outlineLvl w:val="0"/>
    </w:pPr>
    <w:rPr>
      <w:b/>
      <w:bCs/>
      <w:color w:val="1A3A5C"/>
      <w:sz w:val="32"/>
      <w:szCs w:val="32"/>
    </w:rPr>
  </w:style>
  <w:style w:type="paragraph" w:styleId="Heading2">
    <w:name w:val="heading 2"/>
    <w:uiPriority w:val="9"/>
    <w:semiHidden/>
    <w:unhideWhenUsed/>
    <w:qFormat/>
    <w:pPr>
      <w:spacing w:before="280" w:after="140"/>
      <w:outlineLvl w:val="1"/>
    </w:pPr>
    <w:rPr>
      <w:b/>
      <w:bCs/>
      <w:color w:val="1A3A5C"/>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lev1" w:customStyle="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paragraph" w:styleId="HTMLPreformatted">
    <w:name w:val="HTML Preformatted"/>
    <w:basedOn w:val="Normal"/>
    <w:link w:val="HTMLPreformattedChar"/>
    <w:uiPriority w:val="99"/>
    <w:semiHidden/>
    <w:unhideWhenUsed/>
    <w:rsid w:val="006C63D2"/>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6C63D2"/>
    <w:rPr>
      <w:rFonts w:ascii="Consolas" w:hAnsi="Consolas"/>
      <w:sz w:val="20"/>
      <w:szCs w:val="20"/>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9A533D"/>
    <w:pPr>
      <w:tabs>
        <w:tab w:val="center" w:pos="4703"/>
        <w:tab w:val="right" w:pos="9406"/>
      </w:tabs>
    </w:pPr>
  </w:style>
  <w:style w:type="character" w:styleId="HeaderChar" w:customStyle="1">
    <w:name w:val="Header Char"/>
    <w:basedOn w:val="DefaultParagraphFont"/>
    <w:link w:val="Header"/>
    <w:uiPriority w:val="99"/>
    <w:semiHidden/>
    <w:rsid w:val="009A533D"/>
  </w:style>
  <w:style w:type="paragraph" w:styleId="Footer">
    <w:name w:val="footer"/>
    <w:basedOn w:val="Normal"/>
    <w:link w:val="FooterChar"/>
    <w:uiPriority w:val="99"/>
    <w:semiHidden/>
    <w:unhideWhenUsed/>
    <w:rsid w:val="009A533D"/>
    <w:pPr>
      <w:tabs>
        <w:tab w:val="center" w:pos="4703"/>
        <w:tab w:val="right" w:pos="9406"/>
      </w:tabs>
    </w:pPr>
  </w:style>
  <w:style w:type="character" w:styleId="FooterChar" w:customStyle="1">
    <w:name w:val="Footer Char"/>
    <w:basedOn w:val="DefaultParagraphFont"/>
    <w:link w:val="Footer"/>
    <w:uiPriority w:val="99"/>
    <w:semiHidden/>
    <w:rsid w:val="009A533D"/>
  </w:style>
  <w:style w:type="character" w:styleId="UnresolvedMention">
    <w:name w:val="Unresolved Mention"/>
    <w:basedOn w:val="DefaultParagraphFont"/>
    <w:uiPriority w:val="99"/>
    <w:semiHidden/>
    <w:unhideWhenUsed/>
    <w:rsid w:val="000978C6"/>
    <w:rPr>
      <w:color w:val="605E5C"/>
      <w:shd w:val="clear" w:color="auto" w:fill="E1DFDD"/>
    </w:rPr>
  </w:style>
  <w:style w:type="paragraph" w:styleId="Revision">
    <w:name w:val="Revision"/>
    <w:hidden/>
    <w:uiPriority w:val="99"/>
    <w:semiHidden/>
    <w:rsid w:val="00BF0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www.flickr.com/photos/jamescridland/4984060658/in/photolist-U4H6RQ-U4GTt3-8AqBAj-dUR6Gt-U4FBr5-ctj8R1-XfFbHs-awRrL-7rTRdw-XfFbNC-au7dHK-bSEZKg-TVKDH4-ctj71m-6tqHVV-9BBizJ-7yKsXQ-JTVS7-61jgJP-7Rzvfv-oVS5UQ-U254nU-q4YxqE-aJFbvt-7JtC9m-Sk5kPS-ctj6NA-eiwkS6-Wdun6T-pxofR5-Ky8Wgq-hTsDB-TVLj2t-6wPWLd-pVEZDz-6wKLzr-UjthSj-4iSxJx-BjrBE-UumgyG-aUznPk-bKzuZi-3PnYGa-Ky8WhY-pDuQVq-4TQZoA-t2pj4-XAZi8z-j9UrNR-bvm13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image" Target="media/image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CA96ACB23614388A0D9C89774447C" ma:contentTypeVersion="13" ma:contentTypeDescription="Crée un document." ma:contentTypeScope="" ma:versionID="aaee2142b0bd5387504c9cbe2a54a58e">
  <xsd:schema xmlns:xsd="http://www.w3.org/2001/XMLSchema" xmlns:xs="http://www.w3.org/2001/XMLSchema" xmlns:p="http://schemas.microsoft.com/office/2006/metadata/properties" xmlns:ns2="26d8861d-015f-4394-a766-c4944ebde54a" xmlns:ns3="7309b0e4-5874-48ba-9a1e-e07e106f949e" targetNamespace="http://schemas.microsoft.com/office/2006/metadata/properties" ma:root="true" ma:fieldsID="65c2a36571522c3e403a27179bfe1fbf" ns2:_="" ns3:_="">
    <xsd:import namespace="26d8861d-015f-4394-a766-c4944ebde54a"/>
    <xsd:import namespace="7309b0e4-5874-48ba-9a1e-e07e106f94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8861d-015f-4394-a766-c4944ebde54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025ee292-ee80-4b2a-98a5-7d10df1b3d37}" ma:internalName="TaxCatchAll" ma:showField="CatchAllData" ma:web="26d8861d-015f-4394-a766-c4944ebde5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09b0e4-5874-48ba-9a1e-e07e106f94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7cc767a1-8fdd-4862-8487-17747728e8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09b0e4-5874-48ba-9a1e-e07e106f949e">
      <Terms xmlns="http://schemas.microsoft.com/office/infopath/2007/PartnerControls"/>
    </lcf76f155ced4ddcb4097134ff3c332f>
    <TaxCatchAll xmlns="26d8861d-015f-4394-a766-c4944ebde5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C1907-8D7E-42A1-8BC1-0E4FD2266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8861d-015f-4394-a766-c4944ebde54a"/>
    <ds:schemaRef ds:uri="7309b0e4-5874-48ba-9a1e-e07e106f9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E9DA8-DA4E-46D8-834D-FFD6E61D56EB}">
  <ds:schemaRefs>
    <ds:schemaRef ds:uri="http://schemas.microsoft.com/office/2006/metadata/properties"/>
    <ds:schemaRef ds:uri="http://schemas.microsoft.com/office/infopath/2007/PartnerControls"/>
    <ds:schemaRef ds:uri="7309b0e4-5874-48ba-9a1e-e07e106f949e"/>
    <ds:schemaRef ds:uri="26d8861d-015f-4394-a766-c4944ebde54a"/>
  </ds:schemaRefs>
</ds:datastoreItem>
</file>

<file path=customXml/itemProps3.xml><?xml version="1.0" encoding="utf-8"?>
<ds:datastoreItem xmlns:ds="http://schemas.openxmlformats.org/officeDocument/2006/customXml" ds:itemID="{449F2ADC-CED2-4180-9A40-F962419046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Charles Reny</lastModifiedBy>
  <revision>13</revision>
  <lastPrinted>2026-02-25T04:38:00.0000000Z</lastPrinted>
  <dcterms:created xsi:type="dcterms:W3CDTF">2026-02-25T04:44:00.0000000Z</dcterms:created>
  <dcterms:modified xsi:type="dcterms:W3CDTF">2026-02-26T15:39:17.8468805Z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0x010100456CA96ACB23614388A0D9C89774447C</vt:lpwstr>
  </property>
  <property fmtid="{D5CDD505-2E9C-101B-9397-08002B2CF9AE}" pid="3" name="MediaServiceImageTags">
    <vt:lpwstr/>
  </property>
</Properties>
</file>